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MarkenG — Ausschließung und Ablehnung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Ausschließung und Ablehnung der Gerichtspersonen gelten die §§ 41 bis 44 und 47 bis 49 der Zivilprozeßordnung entsprechend.</w:t>
      </w:r>
    </w:p>
    <w:p>
      <w:r>
        <w:t xml:space="preserve">(2) Von der Ausübung des Amtes als Richter ist auch ausgeschlossen, wer bei dem vorausgegangenen Verfahren vor dem Deutschen Patent- und Markenamt mitgewirkt hat.</w:t>
      </w:r>
    </w:p>
    <w:p>
      <w:r>
        <w:t xml:space="preserve">(3) Über die Ablehnung eines Richters entscheidet der Senat, dem der Abgelehnte angehört. Wird der Senat durch das Ausscheiden des abgelehnten Mitglieds beschlußunfähig, so entscheidet ein anderer Beschwerdesenat.</w:t>
      </w:r>
    </w:p>
    <w:p>
      <w:r>
        <w:t xml:space="preserve">(4) Über die Ablehnung eines Urkundsbeamten entscheidet der Senat, in dessen Geschäftsbereich die Sache fällt.</w:t>
      </w:r>
    </w:p>
    <w:p>
      <w:r>
        <w:rPr>
          <w:color w:val="555555"/>
          <w:sz w:val="17"/>
        </w:rPr>
        <w:t xml:space="preserve">Zitiervorschlag: § 72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