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MarkenG — Inhaberschaft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Inhaber von eingetragenen und angemeldeten Marken können sein:</w:t>
      </w:r>
    </w:p>
    <w:p>
      <w:pPr>
        <w:ind w:left="420"/>
      </w:pPr>
      <w:r>
        <w:t xml:space="preserve">1. natürliche Personen,</w:t>
      </w:r>
    </w:p>
    <w:p>
      <w:pPr>
        <w:ind w:left="420"/>
      </w:pPr>
      <w:r>
        <w:t xml:space="preserve">2. juristische Personen oder</w:t>
      </w:r>
    </w:p>
    <w:p>
      <w:pPr>
        <w:ind w:left="420"/>
      </w:pPr>
      <w:r>
        <w:t xml:space="preserve">3. Personengesellschaften, sofern sie mit der Fähigkeit ausgestattet sind, Rechte zu erwerben und Verbindlichkeiten einzugehen.</w:t>
      </w:r>
    </w:p>
    <w:p>
      <w:r>
        <w:rPr>
          <w:color w:val="555555"/>
          <w:sz w:val="17"/>
        </w:rPr>
        <w:t xml:space="preserve">Zitiervorschlag: § 7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https://recht.nulegal.eu/gesetze/MarkenG/7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