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MarkenG — Verbot des Gebrauchs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Es ist verboten, im geschäftlichen Verkehr zur Kennzeichnung von Waren oder Dienstleistungen widerrechtlich in identischer oder nachgeahmter Form folgende Zeichen nach Artikel 6ter Absatz 1 Buchstabe a und b der Pariser Verbandsübereinkunft zu benutzen:</w:t>
      </w:r>
    </w:p>
    <w:p>
      <w:pPr>
        <w:ind w:left="420"/>
      </w:pPr>
      <w:r>
        <w:t xml:space="preserve">1. ein Wappen, eine Flagge oder ein anderes staatliches Hoheitszeichen,</w:t>
      </w:r>
    </w:p>
    <w:p>
      <w:pPr>
        <w:ind w:left="420"/>
      </w:pPr>
      <w:r>
        <w:t xml:space="preserve">2. ein amtliches Prüf- oder Gewährzeichen,</w:t>
      </w:r>
    </w:p>
    <w:p>
      <w:pPr>
        <w:ind w:left="420"/>
      </w:pPr>
      <w:r>
        <w:t xml:space="preserve">3. ein Kennzeichen, ein Siegel oder eine Bezeichnung einer internationalen zwischenstaatlichen Organisation.</w:t>
      </w:r>
    </w:p>
    <w:p>
      <w:r>
        <w:rPr>
          <w:color w:val="555555"/>
          <w:sz w:val="17"/>
        </w:rPr>
        <w:t xml:space="preserve">Zitiervorschlag: § 6a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