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62 MarkenG — Akteneinsicht, Registereinsicht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Das Deutsche Patent- und Markenamt gewährt auf Antrag Einsicht in die Akten von Anmeldungen von Marken, wenn ein berechtigtes Interesse glaubhaft gemacht wird.</w:t>
      </w:r>
    </w:p>
    <w:p>
      <w:r>
        <w:t xml:space="preserve">(2) Nach der Eintragung der Marke wird Einsicht in die Akten der eingetragenen Marke gewährt.</w:t>
      </w:r>
    </w:p>
    <w:p>
      <w:r>
        <w:t xml:space="preserve">(3) Die Einsicht in die Akten nach Absatz 2 kann bei elektronisch geführten Akten auch über das Internet gewährt werden.</w:t>
      </w:r>
    </w:p>
    <w:p>
      <w:r>
        <w:t xml:space="preserve">(4) Die Akteneinsicht nach den Absätzen 1 bis 3 ist ausgeschlossen, soweit</w:t>
      </w:r>
    </w:p>
    <w:p>
      <w:pPr>
        <w:ind w:left="420"/>
      </w:pPr>
      <w:r>
        <w:t xml:space="preserve">1. ihr eine Rechtsvorschrift entgegensteht,</w:t>
      </w:r>
    </w:p>
    <w:p>
      <w:pPr>
        <w:ind w:left="420"/>
      </w:pPr>
      <w:r>
        <w:t xml:space="preserve">2. das schutzwürdige Interesse der betroffenen Person im Sinne des Artikels 4 Nummer 1 der Verordnung (EU) 2016/679 offensichtlich überwiegt oder</w:t>
      </w:r>
    </w:p>
    <w:p>
      <w:pPr>
        <w:ind w:left="420"/>
      </w:pPr>
      <w:r>
        <w:t xml:space="preserve">3. sie auf Akteninhalte bezogen ist, die offensichtlich gegen die öffentliche Ordnung oder die guten Sitten verstoßen.</w:t>
      </w:r>
    </w:p>
    <w:p>
      <w:r>
        <w:t xml:space="preserve">(5) Die Einsicht in das Register steht jeder Person frei.</w:t>
      </w:r>
    </w:p>
    <w:p>
      <w:r>
        <w:rPr>
          <w:color w:val="555555"/>
          <w:sz w:val="17"/>
        </w:rPr>
        <w:t xml:space="preserve">Zitiervorschlag: § 62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https://recht.nulegal.eu/gesetze/MarkenG/62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