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MarkenG — Vorrang und Zeitrang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im Falle des Zusammentreffens von Rechten im Sinne der §§ 4, 5 und 13 nach diesem Gesetz für die Bestimmung des Vorrangs der Rechte ihr Zeitrang maßgeblich, wird der Zeitrang nach den Absätzen 2 und 3 bestimmt.</w:t>
      </w:r>
    </w:p>
    <w:p>
      <w:r>
        <w:t xml:space="preserve">(2) Für die Bestimmung des Zeitrangs von angemeldeten oder eingetragenen Marken ist der Anmeldetag (§ 33 Abs. 1) oder, falls eine Priorität nach § 34 oder nach § 35 in Anspruch genommen wird, der Prioritätstag maßgeblich.</w:t>
      </w:r>
    </w:p>
    <w:p>
      <w:r>
        <w:t xml:space="preserve">(3) Für die Bestimmung des Zeitrangs von Rechten im Sinne des § 4 Nr. 2 und 3 und der §§ 5 und 13 ist der Zeitpunkt maßgeblich, zu dem das Recht erworben wurde.</w:t>
      </w:r>
    </w:p>
    <w:p>
      <w:r>
        <w:t xml:space="preserve">(4) Kommt Rechten nach den Absätzen 2 und 3 derselbe Tag als ihr Zeitrang zu, so sind die Rechte gleichrangig und begründen gegeneinander keine Ansprüche.</w:t>
      </w:r>
    </w:p>
    <w:p>
      <w:r>
        <w:rPr>
          <w:color w:val="555555"/>
          <w:sz w:val="17"/>
        </w:rPr>
        <w:t xml:space="preserve">Zitiervorschlag: § 6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https://recht.nulegal.eu/gesetze/MarkenG/6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