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MarkenG — Gutachten</w:t>
      </w:r>
    </w:p>
    <w:p>
      <w:r>
        <w:rPr>
          <w:color w:val="555555"/>
          <w:sz w:val="18"/>
        </w:rPr>
        <w:t xml:space="preserve">Markengesetz</w:t>
      </w:r>
    </w:p>
    <w:p>
      <w:r>
        <w:rPr>
          <w:color w:val="555555"/>
          <w:sz w:val="18"/>
        </w:rPr>
        <w:t xml:space="preserve">Stand: 10.06.2019 (konsolidierte Textfassung, kein amtliches Inkrafttretensdatum)</w:t>
      </w:r>
    </w:p>
    <w:p>
      <w:r>
        <w:t xml:space="preserve">(1) Das Deutsche Patent- und Markenamt ist verpflichtet, auf Ersuchen der Gerichte oder der Staatsanwaltschaften über Fragen, die angemeldete oder eingetragene Marken betreffen, Gutachten abzugeben, wenn in dem Verfahren voneinander abweichende Gutachten mehrerer Sachverständiger vorliegen.</w:t>
      </w:r>
    </w:p>
    <w:p>
      <w:r>
        <w:t xml:space="preserve">(2) Im übrigen ist das Deutsche Patent- und Markenamt nicht befugt, ohne Genehmigung des Bundesministeriums der Justiz und für Verbraucherschutz außerhalb seines gesetzlichen Aufgabenbereichs Beschlüsse zu fassen oder Gutachten abzugeben.</w:t>
      </w:r>
    </w:p>
    <w:p>
      <w:r>
        <w:rPr>
          <w:color w:val="555555"/>
          <w:sz w:val="17"/>
        </w:rPr>
        <w:t xml:space="preserve">Zitiervorschlag: § 58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