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MarkenG — Ausschließung und Ablehnung</w:t>
      </w:r>
    </w:p>
    <w:p>
      <w:r>
        <w:rPr>
          <w:color w:val="555555"/>
          <w:sz w:val="18"/>
        </w:rPr>
        <w:t xml:space="preserve">Markengesetz</w:t>
      </w:r>
    </w:p>
    <w:p>
      <w:r>
        <w:rPr>
          <w:color w:val="555555"/>
          <w:sz w:val="18"/>
        </w:rPr>
        <w:t xml:space="preserve">Stand: 10.06.2019 (konsolidierte Textfassung, kein amtliches Inkrafttretensdatum)</w:t>
      </w:r>
    </w:p>
    <w:p>
      <w:r>
        <w:t xml:space="preserve">(1) Für die Ausschließung und Ablehnung der Prüfer und der Mitglieder der Markenabteilungen sowie der mit der Wahrnehmung von Angelegenheiten, die den Markenstellen oder den Markenabteilungen obliegen, betrauten Beamten und Beamtinnen des gehobenen und mittleren Dienstes oder Angestellten gelten die §§ 41 bis 44, 45 Abs. 2 Satz 2, §§ 47 bis 49 der Zivilprozeßordnung über die Ausschließung und Ablehnung der Gerichtspersonen entsprechend.</w:t>
      </w:r>
    </w:p>
    <w:p>
      <w:r>
        <w:t xml:space="preserve">(2) Über das Ablehnungsgesuch entscheidet, soweit es einer Entscheidung bedarf, eine Markenabteilung.</w:t>
      </w:r>
    </w:p>
    <w:p>
      <w:r>
        <w:rPr>
          <w:color w:val="555555"/>
          <w:sz w:val="17"/>
        </w:rPr>
        <w:t xml:space="preserve">Zitiervorschlag: § 57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