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MarkenG — Beitritt zum Verfalls- und Nichtigkeitsverfahren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03.05.2020 (konsolidierte Textfassung, kein amtliches Inkrafttretensdatum)</w:t>
      </w:r>
    </w:p>
    <w:p>
      <w:r>
        <w:t xml:space="preserve">(1) Ein Dritter kann einem Verfalls- oder Nichtigkeitsverfahren beitreten, wenn über den Antrag auf Erklärung des Verfalls oder der Nichtigkeit noch keine unanfechtbare Entscheidung getroffen wurde und er glaubhaft machen kann, dass</w:t>
      </w:r>
    </w:p>
    <w:p>
      <w:pPr>
        <w:ind w:left="420"/>
      </w:pPr>
      <w:r>
        <w:t xml:space="preserve">1. gegen ihn ein Verfahren wegen Verletzung derselben eingetragenen Marke anhängig ist oder</w:t>
      </w:r>
    </w:p>
    <w:p>
      <w:pPr>
        <w:ind w:left="420"/>
      </w:pPr>
      <w:r>
        <w:t xml:space="preserve">2. er aufgefordert wurde, eine behauptete Verletzung derselben eingetragenen Marke zu unterlassen.</w:t>
      </w:r>
    </w:p>
    <w:p>
      <w:r>
        <w:t xml:space="preserve">Der Beitritt kann innerhalb von drei Monaten ab Einleitung des Verfahrens nach Satz 1 Nummer 1 oder ab Zugang der Unterlassungsaufforderung nach Satz 1 Nummer 2 beantragt werden.</w:t>
      </w:r>
    </w:p>
    <w:p>
      <w:r>
        <w:t xml:space="preserve">(2) Für die Antragstellung gilt § 53 Absatz 1 bis 3 entsprechend. Erfolgt der Beitritt im Beschwerdeverfahren vor dem Bundespatentgericht, erhält der Beitretende die Stellung eines Beschwerdebeteiligten.</w:t>
      </w:r>
    </w:p>
    <w:p>
      <w:r>
        <w:rPr>
          <w:color w:val="555555"/>
          <w:sz w:val="17"/>
        </w:rPr>
        <w:t xml:space="preserve">Zitiervorschlag: § 54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