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MarkenG — Verzicht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Antrag des Inhabers der Marke wird die Eintragung jederzeit für alle oder für einen Teil der Waren oder Dienstleistungen, für die sie eingetragen ist, im Register gelöscht.</w:t>
      </w:r>
    </w:p>
    <w:p>
      <w:r>
        <w:t xml:space="preserve">(2) Ist im Register eine Person als Inhaber eines Rechts an der Marke eingetragen, so wird die Eintragung nur mit Zustimmung dieser Person gelöscht.</w:t>
      </w:r>
    </w:p>
    <w:p>
      <w:r>
        <w:rPr>
          <w:color w:val="555555"/>
          <w:sz w:val="17"/>
        </w:rPr>
        <w:t xml:space="preserve">Zitiervorschlag: § 48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