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MarkenG — Eintragungsbewilligungsklage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der Marke kann im Wege der Klage gegen den Widersprechenden geltend machen, daß ihm trotz der Löschung der Eintragung nach § 43 ein Anspruch auf die Eintragung zusteht.</w:t>
      </w:r>
    </w:p>
    <w:p>
      <w:r>
        <w:t xml:space="preserve">(2) Die Klage nach Absatz 1 ist innerhalb von sechs Monaten nach Unanfechtbarkeit der Entscheidung, mit der die Eintragung gelöscht worden ist, zu erheben.</w:t>
      </w:r>
    </w:p>
    <w:p>
      <w:r>
        <w:t xml:space="preserve">(3) Die Eintragung aufgrund einer Entscheidung zugunsten des Inhabers der Marke wird unter Wahrung des Zeitrangs der Eintragung vorgenommen.</w:t>
      </w:r>
    </w:p>
    <w:p>
      <w:r>
        <w:rPr>
          <w:color w:val="555555"/>
          <w:sz w:val="17"/>
        </w:rPr>
        <w:t xml:space="preserve">Zitiervorschlag: § 44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