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MarkenG — Einrede mangelnder Benutzung, Entscheidung über den Widerspruch</w:t>
      </w:r>
    </w:p>
    <w:p>
      <w:r>
        <w:rPr>
          <w:color w:val="555555"/>
          <w:sz w:val="18"/>
        </w:rPr>
        <w:t xml:space="preserve">Markengesetz</w:t>
      </w:r>
    </w:p>
    <w:p>
      <w:r>
        <w:rPr>
          <w:color w:val="555555"/>
          <w:sz w:val="18"/>
        </w:rPr>
        <w:t xml:space="preserve">Stand: 10.06.2019 (konsolidierte Textfassung, kein amtliches Inkrafttretensdatum)</w:t>
      </w:r>
    </w:p>
    <w:p>
      <w:r>
        <w:t xml:space="preserve">(1) Ist der Widerspruch vom Inhaber einer eingetragenen Marke mit älterem Zeitrang erhoben worden, so hat er, wenn der Gegner die Einrede der Nichtbenutzung erhebt, nachzuweisen, dass die Marke innerhalb der letzten fünf Jahre vor dem Anmelde- oder Prioritätstag der Marke, gegen die der Widerspruch sich richtet, gemäß § 26 benutzt worden ist, sofern zu diesem Zeitpunkt seit mindestens fünf Jahren kein Widerspruch mehr gegen sie möglich war. Der Nachweis kann auch durch eine eidesstattliche Versicherung erbracht werden. Bei der Entscheidung werden nur Waren und Dienstleistungen berücksichtigt, für die die Benutzung nachgewiesen worden ist.</w:t>
      </w:r>
    </w:p>
    <w:p>
      <w:r>
        <w:t xml:space="preserve">(2) Ergibt die Prüfung des Widerspruchs, daß die Marke für alle oder für einen Teil der Waren oder Dienstleistungen, für die sie eingetragen ist, zu löschen ist, so wird die Eintragung ganz oder teilweise gelöscht. Kann die Eintragung der Marke nicht gelöscht werden, so wird der Widerspruch zurückgewiesen.</w:t>
      </w:r>
    </w:p>
    <w:p>
      <w:r>
        <w:t xml:space="preserve">(3) Ist die eingetragene Marke wegen einer oder mehrerer Marken mit älterem Zeitrang zu löschen, so kann das Verfahren über weitere Widersprüche bis zur rechtskräftigen Entscheidung über die Eintragung der Marke ausgesetzt werden.</w:t>
      </w:r>
    </w:p>
    <w:p>
      <w:r>
        <w:t xml:space="preserve">(4) Im Falle der Löschung nach Absatz 2 ist § 52 Abs. 2 und 3 entsprechend anzuwenden.</w:t>
      </w:r>
    </w:p>
    <w:p>
      <w:r>
        <w:rPr>
          <w:color w:val="555555"/>
          <w:sz w:val="17"/>
        </w:rPr>
        <w:t xml:space="preserve">Zitiervorschlag: § 43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https://recht.nulegal.eu/gesetze/MarkenG/43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