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MarkenG — Eintragung, Veröffentlichung und Markeninformation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Entspricht die Anmeldung den Anmeldungserfordernissen und wird sie nicht gemäß § 37 zurückgewiesen, so wird die angemeldete Marke in das Register eingetragen.</w:t>
      </w:r>
    </w:p>
    <w:p>
      <w:r>
        <w:t xml:space="preserve">(2) Die Eintragung wird veröffentlicht. Die Veröffentlichung kann in elektronischer Form erfolgen.</w:t>
      </w:r>
    </w:p>
    <w:p>
      <w:r>
        <w:t xml:space="preserve">(3) Zur weiteren Verarbeitung oder Nutzung zu Zwecken der Markeninformation kann das Deutsche Patent- und Markenamt die in das Register eingetragenen Angaben an Dritte in elektronischer Form übermitteln. Die Übermittlung erfolgt nicht, soweit die Einsicht nach § 62 Absatz 4 ausgeschlossen ist.</w:t>
      </w:r>
    </w:p>
    <w:p>
      <w:r>
        <w:rPr>
          <w:color w:val="555555"/>
          <w:sz w:val="17"/>
        </w:rPr>
        <w:t xml:space="preserve">Zitiervorschlag: § 41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