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MarkenG — Entstehung des Markenschutzes</w:t>
      </w:r>
    </w:p>
    <w:p>
      <w:r>
        <w:rPr>
          <w:color w:val="555555"/>
          <w:sz w:val="18"/>
        </w:rPr>
        <w:t xml:space="preserve">Markengesetz</w:t>
      </w:r>
    </w:p>
    <w:p>
      <w:r>
        <w:rPr>
          <w:color w:val="555555"/>
          <w:sz w:val="18"/>
        </w:rPr>
        <w:t xml:space="preserve">Stand: 16.01.2026 (konsolidierte Textfassung, kein amtliches Inkrafttretensdatum)</w:t>
      </w:r>
    </w:p>
    <w:p>
      <w:r>
        <w:t xml:space="preserve">Der Markenschutz entsteht</w:t>
      </w:r>
    </w:p>
    <w:p>
      <w:pPr>
        <w:ind w:left="420"/>
      </w:pPr>
      <w:r>
        <w:t xml:space="preserve">1. durch die Eintragung eines Zeichens als Marke in das vom Deutschen Patent- und Markenamt geführte Register,</w:t>
      </w:r>
    </w:p>
    <w:p>
      <w:pPr>
        <w:ind w:left="420"/>
      </w:pPr>
      <w:r>
        <w:t xml:space="preserve">2. durch die Benutzung eines Zeichens im geschäftlichen Verkehr, soweit das Zeichen innerhalb beteiligter Verkehrskreise als Marke Verkehrsgeltung erworben hat, oder</w:t>
      </w:r>
    </w:p>
    <w:p>
      <w:pPr>
        <w:ind w:left="420"/>
      </w:pPr>
      <w:r>
        <w:t xml:space="preserve">3. durch die im Sinne des Artikels 6bis der Pariser Verbandsübereinkunft vom 20. März 1883 zum Schutz des gewerblichen Eigentums in der Stockholmer Fassung vom 14. Juli 1967 (BGBl. 1970 II S. 293, 391), die durch Beschluss vom 2. Oktober 1979 (BGBl. 1984 II S. 799) geändert worden ist (Pariser Verbandsübereinkunft), notorische Bekanntheit einer Marke.</w:t>
      </w:r>
    </w:p>
    <w:p>
      <w:r>
        <w:rPr>
          <w:color w:val="555555"/>
          <w:sz w:val="17"/>
        </w:rPr>
        <w:t xml:space="preserve">Zitiervorschlag: § 4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