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MarkenG — Zurücknahme, Einschränkung und Berichtigung der Anmeldung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Anmelder kann die Anmeldung jederzeit zurücknehmen oder das in der Anmeldung enthaltene Verzeichnis der Waren und Dienstleistungen einschränken.</w:t>
      </w:r>
    </w:p>
    <w:p>
      <w:r>
        <w:t xml:space="preserve">(2) Der Inhalt der Anmeldung kann auf Antrag des Anmelders zur Berichtigung von sprachlichen Fehlern, Schreibfehlern oder sonstigen offensichtlichen Unrichtigkeiten geändert werden.</w:t>
      </w:r>
    </w:p>
    <w:p>
      <w:r>
        <w:rPr>
          <w:color w:val="555555"/>
          <w:sz w:val="17"/>
        </w:rPr>
        <w:t xml:space="preserve">Zitiervorschlag: § 39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