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MarkenG — Vermutung der Rechtsinhaberschaft, Zustellungen an den Inhaber</w:t>
      </w:r>
    </w:p>
    <w:p>
      <w:r>
        <w:rPr>
          <w:color w:val="555555"/>
          <w:sz w:val="18"/>
        </w:rPr>
        <w:t xml:space="preserve">Markengesetz</w:t>
      </w:r>
    </w:p>
    <w:p>
      <w:r>
        <w:rPr>
          <w:color w:val="555555"/>
          <w:sz w:val="18"/>
        </w:rPr>
        <w:t xml:space="preserve">Stand: 10.06.2019 (konsolidierte Textfassung, kein amtliches Inkrafttretensdatum)</w:t>
      </w:r>
    </w:p>
    <w:p>
      <w:r>
        <w:t xml:space="preserve">(1) Es wird vermutet, daß das durch die Eintragung einer Marke begründete Recht dem im Register als Inhaber Eingetragenen zusteht.</w:t>
      </w:r>
    </w:p>
    <w:p>
      <w:r>
        <w:t xml:space="preserve">(2) Ist das durch die Eintragung einer Marke begründete Recht auf einen anderen übertragen worden oder übergegangen, so kann der Rechtsnachfolger in einem Verfahren vor dem Deutschen Patent- und Markenamt, einem Beschwerdeverfahren vor dem Bundespatentgericht oder einem Rechtsbeschwerdeverfahren vor dem Bundesgerichtshof den Anspruch auf Schutz dieser Marke und das durch die Eintragung begründete Recht erst von dem Zeitpunkt an geltend machen, in dem dem Deutschen Patent- und Markenamt der Antrag auf Eintragung des Rechtsübergangs zugegangen ist. Satz 1 gilt entsprechend für sonstige Verfahren vor dem Deutschen Patent- und Markenamt, Beschwerdeverfahren vor dem Bundespatentgericht oder Rechtsbeschwerdeverfahren vor dem Bundesgerichtshof, an denen der Inhaber einer Marke beteiligt ist. Übernimmt der Rechtsnachfolger ein Verfahren nach Satz 1 oder 2, so ist die Zustimmung der übrigen Verfahrensbeteiligten nicht erforderlich.</w:t>
      </w:r>
    </w:p>
    <w:p>
      <w:r>
        <w:t xml:space="preserve">(3) Verfügungen und Beschlüsse des Deutschen Patent- und Markenamts, die der Zustellung an den Inhaber der Marke bedürfen, sind dem als Inhaber Eingetragenen zuzustellen. Ist dem Deutschen Patent- und Markenamt ein Antrag auf Eintragung eines Rechtsübergangs zugegangen, so sind die in Satz 1 genannten Verfügungen und Beschlüsse auch dem Rechtsnachfolger zuzustellen.</w:t>
      </w:r>
    </w:p>
    <w:p>
      <w:r>
        <w:rPr>
          <w:color w:val="555555"/>
          <w:sz w:val="17"/>
        </w:rPr>
        <w:t xml:space="preserve">Zitiervorschlag: § 28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