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MarkenG — Benutzung der Marke</w:t>
      </w:r>
    </w:p>
    <w:p>
      <w:r>
        <w:rPr>
          <w:color w:val="555555"/>
          <w:sz w:val="18"/>
        </w:rPr>
        <w:t xml:space="preserve">Markengesetz</w:t>
      </w:r>
    </w:p>
    <w:p>
      <w:r>
        <w:rPr>
          <w:color w:val="555555"/>
          <w:sz w:val="18"/>
        </w:rPr>
        <w:t xml:space="preserve">Stand: 16.01.2026 (konsolidierte Textfassung, kein amtliches Inkrafttretensdatum)</w:t>
      </w:r>
    </w:p>
    <w:p>
      <w:r>
        <w:t xml:space="preserve">(1) Soweit die Geltendmachung von Ansprüchen aus einer eingetragenen Marke oder die Aufrechterhaltung der Eintragung davon abhängig ist, daß die Marke benutzt worden ist, muß sie von ihrem Inhaber für die Waren oder Dienstleistungen, für die sie eingetragen ist, im Inland ernsthaft benutzt worden sein, es sei denn, daß berechtigte Gründe für die Nichtbenutzung vorliegen.</w:t>
      </w:r>
    </w:p>
    <w:p>
      <w:r>
        <w:t xml:space="preserve">(2) Die Benutzung der Marke mit Zustimmung des Inhabers gilt als Benutzung durch den Inhaber.</w:t>
      </w:r>
    </w:p>
    <w:p>
      <w:r>
        <w:t xml:space="preserve">(3) Als Benutzung einer eingetragenen Marke gilt, unabhängig davon, ob die Marke in der benutzten Form auch auf den Namen des Inhabers eingetragen ist, auch die Benutzung der Marke in einer Form, die von der Eintragung abweicht, soweit die Abweichung den kennzeichnenden Charakter der Marke nicht verändert.</w:t>
      </w:r>
    </w:p>
    <w:p>
      <w:r>
        <w:t xml:space="preserve">(4) Als Benutzung im Inland gilt auch das Anbringen der Marke auf Waren oder deren Aufmachung oder Verpackung im Inland, wenn die Waren ausschließlich für die Ausfuhr bestimmt sind.</w:t>
      </w:r>
    </w:p>
    <w:p>
      <w:r>
        <w:t xml:space="preserve">(5) Soweit die Benutzung innerhalb von fünf Jahren ab dem Zeitpunkt, ab dem kein Widerspruch mehr gegen die Marke möglich ist, erforderlich ist, tritt in den Fällen, in denen gegen die Eintragung Widerspruch erhoben worden ist, an die Stelle des Tages, ab dem kein Widerspruch mehr gegen die Marke möglich war, der Zeitpunkt, ab dem die das Widerspruchsverfahren beendende Entscheidung Rechtskraft erlangt hat oder der Widerspruch zurückgenommen wurde.</w:t>
      </w:r>
    </w:p>
    <w:p>
      <w:r>
        <w:rPr>
          <w:color w:val="555555"/>
          <w:sz w:val="17"/>
        </w:rPr>
        <w:t xml:space="preserve">Zitiervorschlag: § 26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