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MarkenG — Erschöpfung</w:t>
      </w:r>
    </w:p>
    <w:p>
      <w:r>
        <w:rPr>
          <w:color w:val="555555"/>
          <w:sz w:val="18"/>
        </w:rPr>
        <w:t xml:space="preserve">Markengesetz</w:t>
      </w:r>
    </w:p>
    <w:p>
      <w:r>
        <w:rPr>
          <w:color w:val="555555"/>
          <w:sz w:val="18"/>
        </w:rPr>
        <w:t xml:space="preserve">Stand: 10.06.2019 (konsolidierte Textfassung, kein amtliches Inkrafttretensdatum)</w:t>
      </w:r>
    </w:p>
    <w:p>
      <w:r>
        <w:t xml:space="preserve">(1) Der Inhaber einer Marke oder einer geschäftlichen Bezeichnung hat nicht das Recht, einem Dritten zu untersagen, die Marke oder die geschäftliche Bezeichnung für Waren zu benutzen, die unter dieser Marke oder dieser geschäftlichen Bezeichnung von ihm oder mit seiner Zustimmung im Inland, in einem der übrigen Mitgliedstaaten der Europäischen Union oder in einem anderen Vertragsstaat des Abkommens über den Europäischen Wirtschaftsraum in den Verkehr gebracht worden sind.</w:t>
      </w:r>
    </w:p>
    <w:p>
      <w:r>
        <w:t xml:space="preserve">(2) Absatz 1 findet keine Anwendung, wenn sich der Inhaber der Marke oder der geschäftlichen Bezeichnung der Benutzung der Marke oder der geschäftlichen Bezeichnung im Zusammenhang mit dem weiteren Vertrieb der Waren aus berechtigten Gründen widersetzt, insbesondere wenn der Zustand der Waren nach ihrem Inverkehrbringen verändert oder verschlechtert ist.</w:t>
      </w:r>
    </w:p>
    <w:p>
      <w:r>
        <w:rPr>
          <w:color w:val="555555"/>
          <w:sz w:val="17"/>
        </w:rPr>
        <w:t xml:space="preserve">Zitiervorschlag: § 24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