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MarkenG — Ausschluß von Ansprüchen bei Bestandskraft der Eintragung einer Marke mit jüngerem Zeitrang</w:t>
      </w:r>
    </w:p>
    <w:p>
      <w:r>
        <w:rPr>
          <w:color w:val="555555"/>
          <w:sz w:val="18"/>
        </w:rPr>
        <w:t xml:space="preserve">Markengesetz</w:t>
      </w:r>
    </w:p>
    <w:p>
      <w:r>
        <w:rPr>
          <w:color w:val="555555"/>
          <w:sz w:val="18"/>
        </w:rPr>
        <w:t xml:space="preserve">Stand: 16.01.2026 (konsolidierte Textfassung, kein amtliches Inkrafttretensdatum)</w:t>
      </w:r>
    </w:p>
    <w:p>
      <w:r>
        <w:t xml:space="preserve">(1) Der Inhaber einer Marke oder einer geschäftlichen Bezeichnung hat nicht das Recht, die Benutzung einer eingetragenen Marke mit jüngerem Zeitrang für die Waren oder Dienstleistungen, für die sie eingetragen ist, zu untersagen, wenn ein Antrag auf Erklärung der Nichtigkeit der Marke mit jüngerem Zeitrang zurückgewiesen worden ist oder zurückzuweisen wäre,</w:t>
      </w:r>
    </w:p>
    <w:p>
      <w:pPr>
        <w:ind w:left="420"/>
      </w:pPr>
      <w:r>
        <w:t xml:space="preserve">1. weil die Marke oder geschäftliche Bezeichnung mit älterem Zeitrang an dem für den Zeitrang der Eintragung der Marke mit jüngerem Zeitrang maßgeblichen Tag noch nicht im Sinne des § 9 Abs. 1 Nr. 3, des § 14 Absatz 2 Satz 1 Nummer 3 oder des § 15 Abs. 3 bekannt war (§ 51 Abs. 3),</w:t>
      </w:r>
    </w:p>
    <w:p>
      <w:pPr>
        <w:ind w:left="420"/>
      </w:pPr>
      <w:r>
        <w:t xml:space="preserve">2. weil die Eintragung der Marke mit älterem Zeitrang an dem für den Zeitrang der Eintragung der Marke mit jüngerem Zeitrang maßgeblichen Tag wegen Verfalls oder wegen absoluter Schutzhindernisse hätte für verfallen oder für nichtig erklärt und gelöscht werden können (§ 51 Absatz 4),</w:t>
      </w:r>
    </w:p>
    <w:p>
      <w:pPr>
        <w:ind w:left="420"/>
      </w:pPr>
      <w:r>
        <w:t xml:space="preserve">3. weil an dem für den Zeitrang der Eintragung der jüngeren Marke maßgeblichen Tag noch keine Verwechslungsgefahr im Sinne des § 9 Absatz 1 Nummer 2, des § 14 Absatz 2 Satz 1 Nummer 2 oder des § 15 Absatz 2 bestand.</w:t>
      </w:r>
    </w:p>
    <w:p>
      <w:r>
        <w:t xml:space="preserve">(2) In den Fällen des Absatzes 1 kann der Inhaber der eingetragenen Marke mit jüngerem Zeitrang die Benutzung der Marke oder der geschäftlichen Bezeichnung mit älterem Zeitrang nicht untersagen.</w:t>
      </w:r>
    </w:p>
    <w:p>
      <w:r>
        <w:rPr>
          <w:color w:val="555555"/>
          <w:sz w:val="17"/>
        </w:rPr>
        <w:t xml:space="preserve">Zitiervorschlag: § 22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