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MarkenG — Vorlage- und Besichtigungsansprüche</w:t>
      </w:r>
    </w:p>
    <w:p>
      <w:r>
        <w:rPr>
          <w:color w:val="555555"/>
          <w:sz w:val="18"/>
        </w:rPr>
        <w:t xml:space="preserve">Markengesetz</w:t>
      </w:r>
    </w:p>
    <w:p>
      <w:r>
        <w:rPr>
          <w:color w:val="555555"/>
          <w:sz w:val="18"/>
        </w:rPr>
        <w:t xml:space="preserve">Stand: 10.06.2019 (konsolidierte Textfassung, kein amtliches Inkrafttretensdatum)</w:t>
      </w:r>
    </w:p>
    <w:p>
      <w:r>
        <w:t xml:space="preserve">(1) Bei hinreichender Wahrscheinlichkeit einer Rechtsverletzung nach den §§ 14, 15 und 17 kann der Inhaber einer Marke oder einer geschäftlichen Bezeichnung den vermeintlichen Verletzer auf Vorlage einer Urkunde oder Besichtigung einer Sache in Anspruch nehmen, die sich in dessen Verfügungsgewalt befindet, wenn dies zur Begründung seiner Ansprüche erforderlich ist. Besteht die hinreichende Wahrscheinlichkeit einer in gewerblichem Ausmaß begangenen Rechtsverletzung, erstreckt sich der Anspruch auch auf die Vorlage von Bank-, Finanz- oder Handelsunterlagen. Soweit der vermeintliche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einer Urkunde oder zur Duldung der Besichtigung einer Sache kann im Wege der einstweiligen Verfügung nach den §§ 935 bis 945 der Zivilprozessordnung angeordnet werden.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19 Abs. 8 gelten entsprechend.</w:t>
      </w:r>
    </w:p>
    <w:p>
      <w:r>
        <w:t xml:space="preserve">(5) Wenn keine Verletzung vorlag oder drohte, kann der vermeintliche Verletzer von demjenigen, der die Vorlage oder Besichtigung nach Absatz 1 begehrt hat, den Ersatz des ihm durch das Begehren entstandenen Schadens verlangen.</w:t>
      </w:r>
    </w:p>
    <w:p>
      <w:r>
        <w:rPr>
          <w:color w:val="555555"/>
          <w:sz w:val="17"/>
        </w:rPr>
        <w:t xml:space="preserve">Zitiervorschlag: § 19a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