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MarkenG — Ansprüche gegen Agenten oder Vertreter</w:t>
      </w:r>
    </w:p>
    <w:p>
      <w:r>
        <w:rPr>
          <w:color w:val="555555"/>
          <w:sz w:val="18"/>
        </w:rPr>
        <w:t xml:space="preserve">Markengesetz</w:t>
      </w:r>
    </w:p>
    <w:p>
      <w:r>
        <w:rPr>
          <w:color w:val="555555"/>
          <w:sz w:val="18"/>
        </w:rPr>
        <w:t xml:space="preserve">Stand: 10.06.2019 (konsolidierte Textfassung, kein amtliches Inkrafttretensdatum)</w:t>
      </w:r>
    </w:p>
    <w:p>
      <w:r>
        <w:t xml:space="preserve">(1) Ist eine Marke entgegen § 11 für den Agenten oder Vertreter des Inhabers der Marke ohne dessen Zustimmung angemeldet oder eingetragen worden, so ist der Inhaber der Marke berechtigt, von dem Agenten oder Vertreter die Übertragung des durch die Anmeldung oder Eintragung der Marke begründeten Rechts zu verlangen.</w:t>
      </w:r>
    </w:p>
    <w:p>
      <w:r>
        <w:t xml:space="preserve">(2) Ist eine Marke entgegen § 11 für einen Agenten oder Vertreter des Inhabers der Marke eingetragen worden, so kann der Inhaber die Benutzung der Marke im Sinne des § 14 durch den Agenten oder Vertreter untersagen, wenn er der Benutzung nicht zugestimmt hat. Handelt der Agent oder Vertreter vorsätzlich oder fahrlässig, so ist er dem Inhaber der Marke zum Ersatz des durch die Verletzungshandlung entstandenen Schadens verpflichtet. § 14 Abs. 7 ist entsprechend anzuwenden.</w:t>
      </w:r>
    </w:p>
    <w:p>
      <w:r>
        <w:t xml:space="preserve">(3) Die Absätze 1 und 2 finden keine Anwendung, wenn Rechtfertigungsgründe für die Handlungsweise des Agenten oder des Vertreters vorliegen.</w:t>
      </w:r>
    </w:p>
    <w:p>
      <w:r>
        <w:rPr>
          <w:color w:val="555555"/>
          <w:sz w:val="17"/>
        </w:rPr>
        <w:t xml:space="preserve">Zitiervorschlag: § 17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