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MarkenG — Schranken für die Geltendmachung von Verletzungsansprüchen</w:t>
      </w:r>
    </w:p>
    <w:p>
      <w:r>
        <w:rPr>
          <w:color w:val="555555"/>
          <w:sz w:val="18"/>
        </w:rPr>
        <w:t xml:space="preserve">Markengesetz</w:t>
      </w:r>
    </w:p>
    <w:p>
      <w:r>
        <w:rPr>
          <w:color w:val="555555"/>
          <w:sz w:val="18"/>
        </w:rPr>
        <w:t xml:space="preserve">Stand: 10.06.2019 (konsolidierte Textfassung, kein amtliches Inkrafttretensdatum)</w:t>
      </w:r>
    </w:p>
    <w:p>
      <w:r>
        <w:t xml:space="preserve">(1) Standen dem Inhaber einer vor dem 1. Januar 1995 eingetragenen oder durch Benutzung oder notorische Bekanntheit erworbenen Marke oder einer geschäftlichen Bezeichnung nach den bis dahin geltenden Vorschriften gegen die Benutzung der Marke, der geschäftlichen Bezeichnung oder eines übereinstimmenden Zeichens keine Ansprüche wegen Verletzung zu, so können die Rechte aus der Marke oder aus der geschäftlichen Bezeichnung nach diesem Gesetz nicht gegen die Weiterbenutzung dieser Marke, dieser geschäftlichen Bezeichnung oder dieses Zeichens geltend gemacht werden.</w:t>
      </w:r>
    </w:p>
    <w:p>
      <w:r>
        <w:t xml:space="preserve">(2) Auf Ansprüche des Inhabers einer vor dem 1. Januar 1995 eingetragenen oder durch Benutzung oder notorische Bekanntheit erworbenen Marke oder einer geschäftlichen Bezeichnung ist § 21 mit der Maßgabe anzuwenden, daß die in § 21 Abs. 1 und 2 vorgesehene Frist von fünf Jahren mit dem 1. Januar 1995 zu laufen beginnt.</w:t>
      </w:r>
    </w:p>
    <w:p>
      <w:r>
        <w:rPr>
          <w:color w:val="555555"/>
          <w:sz w:val="17"/>
        </w:rPr>
        <w:t xml:space="preserve">Zitiervorschlag: § 153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