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147 MarkenG — Einziehung, Widerspruch, Aufhebung der Beschlagnahme</w:t>
      </w:r>
    </w:p>
    <w:p>
      <w:r>
        <w:rPr>
          <w:color w:val="555555"/>
          <w:sz w:val="18"/>
        </w:rPr>
        <w:t xml:space="preserve">Markengesetz</w:t>
      </w:r>
    </w:p>
    <w:p>
      <w:r>
        <w:rPr>
          <w:color w:val="555555"/>
          <w:sz w:val="18"/>
        </w:rPr>
        <w:t xml:space="preserve">Stand: 10.06.2019 (konsolidierte Textfassung, kein amtliches Inkrafttretensdatum)</w:t>
      </w:r>
    </w:p>
    <w:p>
      <w:r>
        <w:t xml:space="preserve">(1) Wird der Beschlagnahme nicht spätestens nach Ablauf von zwei Wochen nach Zustellung der Mitteilung nach § 146 Abs. 2 Satz 1 widersprochen, ordnet die Zollbehörde die Einziehung der beschlagnahmten Waren an.</w:t>
      </w:r>
    </w:p>
    <w:p>
      <w:r>
        <w:t xml:space="preserve">(2) Widerspricht der Verfügungsberechtigte der Beschlagnahme, unterrichtet die Zollbehörde hiervon unverzüglich den Antragsteller. Dieser hat gegenüber der Zollbehörde unverzüglich zu erklären, ob er den Antrag nach § 146 Abs. 1 in bezug auf die beschlagnahmten Waren aufrechterhält.</w:t>
      </w:r>
    </w:p>
    <w:p>
      <w:r>
        <w:t xml:space="preserve">(3) Nimmt der Antragsteller den Antrag zurück, hebt die Zollbehörde die Beschlagnahme unverzüglich auf. Hält der Antragsteller den Antrag aufrecht und legt er eine vollziehbare gerichtliche Entscheidung vor, die die Verwahrung der beschlagnahmten Waren oder eine Verfügungsbeschränkung anordnet, trifft die Zollbehörde die erforderlichen Maßnahmen.</w:t>
      </w:r>
    </w:p>
    <w:p>
      <w:r>
        <w:t xml:space="preserve">(4) Liegen die Fälle des Absatzes 3 nicht vor, hebt die Zollbehörde die Beschlagnahme nach Ablauf von zwei Wochen nach Zustellung der Mitteilung an den Antragsteller nach Absatz 2 auf. Weist der Antragsteller nach, daß die gerichtliche Entscheidung nach Absatz 3 Satz 2 beantragt, ihm aber noch nicht zugegangen ist, wird die Beschlagnahme für längstens zwei weitere Wochen aufrechterhalten.</w:t>
      </w:r>
    </w:p>
    <w:p>
      <w:r>
        <w:rPr>
          <w:color w:val="555555"/>
          <w:sz w:val="17"/>
        </w:rPr>
        <w:t xml:space="preserve">Zitiervorschlag: § 147 MarkenG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https://recht.nulegal.eu/gesetze/MarkenG/147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