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MarkenG — Beschlagnahme bei der Verletzung von Kennzeichenrechten</w:t>
      </w:r>
    </w:p>
    <w:p>
      <w:r>
        <w:rPr>
          <w:color w:val="555555"/>
          <w:sz w:val="18"/>
        </w:rPr>
        <w:t xml:space="preserve">Markengesetz</w:t>
      </w:r>
    </w:p>
    <w:p>
      <w:r>
        <w:rPr>
          <w:color w:val="555555"/>
          <w:sz w:val="18"/>
        </w:rPr>
        <w:t xml:space="preserve">Stand: 16.01.2026 (konsolidierte Textfassung, kein amtliches Inkrafttretensdatum)</w:t>
      </w:r>
    </w:p>
    <w:p>
      <w:r>
        <w:t xml:space="preserve">(1) Waren, die widerrechtlich mit einer nach diesem Gesetz geschützten Marke oder geschäftlichen Bezeichnung versehen sind, unterliegen, soweit nicht die Verordnung (EU) Nr. 608/2013 anzuwenden ist, auf Antrag und gegen Sicherheitsleistung des Rechtsinhabers bei ihrer Einfuhr oder Ausfuhr der Beschlagnahme durch die Zollbehörde, sofern die Rechtsverletzung offensichtlich ist. Dies gilt für den Verkehr mit anderen Mitgliedstaaten der Europäischen Union sowie mit den anderen Vertragsstaaten des Abkommens über den Europäischen Wirtschaftsraum nur, soweit Kontrollen durch die Zollbehörden stattfinden.</w:t>
      </w:r>
    </w:p>
    <w:p>
      <w:r>
        <w:t xml:space="preserve">(2) Ordnet die Zollbehörde die Beschlagnahme an, unterrichtet sie unverzüglich den Verfügungsberechtigten sowie den Antragsteller. Dem Antragsteller sind Herkunft, Menge und Lagerort der Waren sowie Name und Anschrift des Verfügungsberechtigten mitzuteilen. Das Brief- und Postgeheimnis (Artikel 10 des Grundgesetzes) wird insoweit eingeschränkt. Dem Antragsteller wird Gelegenheit gegeben, die Waren zu besichtigen, soweit hierdurch nicht in Geschäfts- oder Betriebsgeheimnisse eingegriffen wird.</w:t>
      </w:r>
    </w:p>
    <w:p>
      <w:r>
        <w:rPr>
          <w:color w:val="555555"/>
          <w:sz w:val="17"/>
        </w:rPr>
        <w:t xml:space="preserve">Zitiervorschlag: § 146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