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145a MarkenG — Beseitigung von Kennzeichnungen und Vernichtung von Gegenständen im Bußgeldverfahren</w:t>
      </w:r>
    </w:p>
    <w:p>
      <w:r>
        <w:rPr>
          <w:color w:val="555555"/>
          <w:sz w:val="18"/>
        </w:rPr>
        <w:t xml:space="preserve">Markengesetz</w:t>
      </w:r>
    </w:p>
    <w:p>
      <w:r>
        <w:rPr>
          <w:color w:val="555555"/>
          <w:sz w:val="18"/>
        </w:rPr>
        <w:t xml:space="preserve">Stand: 16.01.2026 (konsolidierte Textfassung, kein amtliches Inkrafttretensdatum)</w:t>
      </w:r>
    </w:p>
    <w:p>
      <w:r>
        <w:t xml:space="preserve">In den Fällen des § 145 Absatz 1 und 3 bestimmt die Verwaltungsbehörde, dass die widerrechtliche Kennzeichnung der Gegenstände beseitigt wird oder, wenn dies nicht möglich ist, die Gegenstände vernichtet werden.</w:t>
      </w:r>
    </w:p>
    <w:p>
      <w:r>
        <w:rPr>
          <w:color w:val="555555"/>
          <w:sz w:val="17"/>
        </w:rPr>
        <w:t xml:space="preserve">Zitiervorschlag: § 145a MarkenG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https://recht.nulegal.eu/gesetze/MarkenG/145a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