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MarkenG — Ausschließliches Recht des Inhabers einer Marke, Unterlassungsanspruch, Schadensersatzanspruch</w:t>
      </w:r>
    </w:p>
    <w:p>
      <w:r>
        <w:rPr>
          <w:color w:val="555555"/>
          <w:sz w:val="18"/>
        </w:rPr>
        <w:t xml:space="preserve">Markengesetz</w:t>
      </w:r>
    </w:p>
    <w:p>
      <w:r>
        <w:rPr>
          <w:color w:val="555555"/>
          <w:sz w:val="18"/>
        </w:rPr>
        <w:t xml:space="preserve">Stand: 16.01.2026 (konsolidierte Textfassung, kein amtliches Inkrafttretensdatum)</w:t>
      </w:r>
    </w:p>
    <w:p>
      <w:r>
        <w:t xml:space="preserve">(1) Der Erwerb des Markenschutzes nach § 4 gewährt dem Inhaber der Marke ein ausschließliches Recht.</w:t>
      </w:r>
    </w:p>
    <w:p>
      <w:r>
        <w:t xml:space="preserve">(2) Dritten ist es untersagt, ohne Zustimmung des Inhabers der Marke im geschäftlichen Verkehr in Bezug auf Waren oder Dienstleistungen</w:t>
      </w:r>
    </w:p>
    <w:p>
      <w:pPr>
        <w:ind w:left="420"/>
      </w:pPr>
      <w:r>
        <w:t xml:space="preserve">1. ein mit der Marke identisches Zeichen für Waren oder Dienstleistungen zu benutzen, die mit denjenigen identisch sind, für die sie Schutz genießt,</w:t>
      </w:r>
    </w:p>
    <w:p>
      <w:pPr>
        <w:ind w:left="420"/>
      </w:pPr>
      <w:r>
        <w:t xml:space="preserve">2. ein Zeichen zu benutzen, wenn das Zeichen mit der Marke identisch oder ihr ähnlich ist und für Waren oder Dienstleistungen benutzt wird, die mit denjenigen identisch oder ihnen ähnlich sind, die von der Marke erfasst werden, und für das Publikum die Gefahr einer Verwechslung besteht, die die Gefahr einschließt, dass das Zeichen mit der Marke gedanklich in Verbindung gebracht wird, oder</w:t>
      </w:r>
    </w:p>
    <w:p>
      <w:pPr>
        <w:ind w:left="420"/>
      </w:pPr>
      <w:r>
        <w:t xml:space="preserve">3. ein mit der Marke identisches Zeichen oder ein ähnliches Zeichen für Waren oder Dienstleistungen zu benutzen, wenn es sich bei der Marke um eine im Inland bekannte Marke handelt und die Benutzung des Zeichens die Unterscheidungskraft oder die Wertschätzung der bekannten Marke ohne rechtfertigenden Grund in unlauterer Weise ausnutzt oder beeinträchtigt.</w:t>
      </w:r>
    </w:p>
    <w:p>
      <w:r>
        <w:t xml:space="preserve">Waren und Dienstleistungen werden nicht schon deswegen als ähnlich angesehen, weil sie in derselben Klasse gemäß dem in der Nizza-Klassifikation festgelegten Klassifikationssystem erscheinen. Waren und Dienstleistungen werden nicht schon deswegen als unähnlich angesehen, weil sie in verschiedenen Klassen der Nizza-Klassifikation erscheinen.</w:t>
      </w:r>
    </w:p>
    <w:p>
      <w:r>
        <w:t xml:space="preserve">(3) Sind die Voraussetzungen des Absatzes 2 erfüllt, so ist es insbesondere untersagt,</w:t>
      </w:r>
    </w:p>
    <w:p>
      <w:pPr>
        <w:ind w:left="420"/>
      </w:pPr>
      <w:r>
        <w:t xml:space="preserve">1. das Zeichen auf Waren oder ihrer Aufmachung oder Verpackung anzubringen,</w:t>
      </w:r>
    </w:p>
    <w:p>
      <w:pPr>
        <w:ind w:left="420"/>
      </w:pPr>
      <w:r>
        <w:t xml:space="preserve">2. unter dem Zeichen Waren anzubieten, in den Verkehr zu bringen oder zu den genannten Zwecken zu besitzen,</w:t>
      </w:r>
    </w:p>
    <w:p>
      <w:pPr>
        <w:ind w:left="420"/>
      </w:pPr>
      <w:r>
        <w:t xml:space="preserve">3. unter dem Zeichen Dienstleistungen anzubieten oder zu erbringen,</w:t>
      </w:r>
    </w:p>
    <w:p>
      <w:pPr>
        <w:ind w:left="420"/>
      </w:pPr>
      <w:r>
        <w:t xml:space="preserve">4. unter dem Zeichen Waren einzuführen oder auszuführen,</w:t>
      </w:r>
    </w:p>
    <w:p>
      <w:pPr>
        <w:ind w:left="420"/>
      </w:pPr>
      <w:r>
        <w:t xml:space="preserve">5. das Zeichen als Handelsnamen oder geschäftliche Bezeichnung oder als Teil eines Handelsnamens oder einer geschäftlichen Bezeichnung zu benutzen,</w:t>
      </w:r>
    </w:p>
    <w:p>
      <w:pPr>
        <w:ind w:left="420"/>
      </w:pPr>
      <w:r>
        <w:t xml:space="preserve">6. das Zeichen in Geschäftspapieren oder in der Werbung zu benutzen,</w:t>
      </w:r>
    </w:p>
    <w:p>
      <w:pPr>
        <w:ind w:left="420"/>
      </w:pPr>
      <w:r>
        <w:t xml:space="preserve">7. das Zeichen in der vergleichenden Werbung in einer der Richtlinie 2006/114/EG zuwiderlaufenden Weise zu benutzen.</w:t>
      </w:r>
    </w:p>
    <w:p>
      <w:r>
        <w:t xml:space="preserve">(4) Dritten ist es ferner untersagt, ohne Zustimmung des Inhabers der Marke im geschäftlichen Verkehr</w:t>
      </w:r>
    </w:p>
    <w:p>
      <w:pPr>
        <w:ind w:left="420"/>
      </w:pPr>
      <w:r>
        <w:t xml:space="preserve">1. ein mit der Marke identisches Zeichen oder ein ähnliches Zeichen auf Aufmachungen oder Verpackungen oder auf Kennzeichnungsmitteln wie Etiketten, Anhängern, Aufnähern oder dergleichen anzubringen,</w:t>
      </w:r>
    </w:p>
    <w:p>
      <w:pPr>
        <w:ind w:left="420"/>
      </w:pPr>
      <w:r>
        <w:t xml:space="preserve">2. Aufmachungen, Verpackungen oder Kennzeichnungsmittel, die mit einem mit der Marke identischen Zeichen oder einem ähnlichen Zeichen versehen sind, anzubieten, in den Verkehr zu bringen oder zu den genannten Zwecken zu besitzen oder</w:t>
      </w:r>
    </w:p>
    <w:p>
      <w:pPr>
        <w:ind w:left="420"/>
      </w:pPr>
      <w:r>
        <w:t xml:space="preserve">3. Aufmachungen, Verpackungen oder Kennzeichnungsmittel, die mit einem mit der Marke identischen Zeichen oder einem ähnlichen Zeichen versehen sind, einzuführen oder auszuführen,</w:t>
      </w:r>
    </w:p>
    <w:p>
      <w:r>
        <w:t xml:space="preserve">wenn die Gefahr besteht, daß die Aufmachungen oder Verpackungen zur Aufmachung oder Verpackung oder die Kennzeichnungsmittel zur Kennzeichnung von Waren oder Dienstleistungen benutzt werden, hinsichtlich deren Dritten die Benutzung des Zeichens nach den Absätzen 2 und 3 untersagt wäre.</w:t>
      </w:r>
    </w:p>
    <w:p>
      <w:r>
        <w:t xml:space="preserve">(5) Wer ein Zeichen entgegen den Absätzen 2 bis 4 benutzt, kann von dem Inhaber der Marke bei Wiederholungsgefahr auf Unterlassung in Anspruch genommen werden. Der Anspruch besteht auch dann, wenn eine Zuwiderhandlung erstmalig droht.</w:t>
      </w:r>
    </w:p>
    <w:p>
      <w:r>
        <w:t xml:space="preserve">(6) Wer die Verletzungshandlung vorsätzlich oder fahrlässig begeht, ist dem Inhaber der Marke zum Ersatz des durch die Verletzungshandlung entstandenen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Nutzung der Marke eingeholt hätte.</w:t>
      </w:r>
    </w:p>
    <w:p>
      <w:r>
        <w:t xml:space="preserve">(7) Wird die Verletzungshandlung in einem geschäftlichen Betrieb von einem Angestellten oder Beauftragten begangen, so kann der Unterlassungsanspruch und, soweit der Angestellte oder Beauftragte vorsätzlich oder fahrlässig gehandelt hat, der Schadensersatzanspruch auch gegen den Inhaber des Betriebs geltend gemacht werden.</w:t>
      </w:r>
    </w:p>
    <w:p>
      <w:r>
        <w:rPr>
          <w:color w:val="555555"/>
          <w:sz w:val="17"/>
        </w:rPr>
        <w:t xml:space="preserve">Zitiervorschlag: § 14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