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138 MarkenG — Sonstige Vorschriften für das Verfahren bei Anträgen und Einsprüchen nach der Verordnung (EU) 2023/2411; Verordnungsermächtigung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Das Bundesministerium der Justiz und für Verbraucherschutz wird ermächtigt, durch Rechtsverordnung ohne Zustimmung des Bundesrates die genauen Verfahrensmodalitäten des Antrags-, des Einspruchs-, des Änderungs- und des Löschungsverfahrens einschließlich der Behandlung von Anträgen auf internationale Registrierung und des Tragens der damit verbundenen Gebühren (§§ 130 bis 132a) festzulegen.</w:t>
      </w:r>
    </w:p>
    <w:p>
      <w:r>
        <w:t xml:space="preserve">(2) Das Bundesministerium der Justiz und für Verbraucherschutz kann die Ermächtigung zum Erlass von Rechtsverordnungen nach Absatz 1 durch Rechtsverordnung ohne Zustimmung des Bundesrates ganz oder teilweise auf das Deutsche Patent- und Markenamt übertragen.</w:t>
      </w:r>
    </w:p>
    <w:p>
      <w:r>
        <w:rPr>
          <w:color w:val="555555"/>
          <w:sz w:val="17"/>
        </w:rPr>
        <w:t xml:space="preserve">Zitiervorschlag: § 138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