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135 MarkenG — Ansprüche wegen Verletzung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Wer im geschäftlichen Verkehr widerrechtlich Handlungen vornimmt, die gegen Artikel 40 der Verordnung (EU) 2023/2411 verstoßen, kann bei Wiederholungsgefahr auf Unterlassung in Anspruch genommen werden. Der Anspruch besteht auch dann, wenn eine Zuwiderhandlung erstmals droht. Die Ansprüche nach Satz 1 stehen zu</w:t>
      </w:r>
    </w:p>
    <w:p>
      <w:pPr>
        <w:ind w:left="420"/>
      </w:pPr>
      <w:r>
        <w:t xml:space="preserve">1. der Erzeugervereinigung, in deren Namen die geschützte geografische Angabe in das Unionsregister nach Artikel 37 der Verordnung (EU) 2023/2411 eingetragen wurde oder in deren Tätigkeitsbereich der Schutz dieser Angabe fällt,</w:t>
      </w:r>
    </w:p>
    <w:p>
      <w:pPr>
        <w:ind w:left="420"/>
      </w:pPr>
      <w:r>
        <w:t xml:space="preserve">2. Erzeugern, denen ein Nutzungsrecht an der geografischen Angabe im Sinne des Artikels 47 der Verordnung (EU) 2023/2411 zusteht,</w:t>
      </w:r>
    </w:p>
    <w:p>
      <w:pPr>
        <w:ind w:left="420"/>
      </w:pPr>
      <w:r>
        <w:t xml:space="preserve">3. den nach der Handwerksordnung errichteten Organisationen,</w:t>
      </w:r>
    </w:p>
    <w:p>
      <w:pPr>
        <w:ind w:left="420"/>
      </w:pPr>
      <w:r>
        <w:t xml:space="preserve">4. den Industrie- und Handelskammern.</w:t>
      </w:r>
    </w:p>
    <w:p>
      <w:r>
        <w:t xml:space="preserve">§ 14a Absatz 2 und die §§ 18 bis 19a und 19c gelten entsprechend.</w:t>
      </w:r>
    </w:p>
    <w:p>
      <w:r>
        <w:t xml:space="preserve">(2) § 128 Absatz 2 und 3 gilt für Zuwiderhandlungen gegen Artikel 40 der Verordnung (EU) 2023/2411 entsprechend. Die berechtigte Erzeugervereinigung nach Absatz 1 Satz 3 Nummer 1, in deren Namen die geografische Angabe eingetragen ist, kann die Ansprüche nach Satz 1 mit Zustimmung der berechtigten Erzeuger in deren Namen geltend machen.</w:t>
      </w:r>
    </w:p>
    <w:p>
      <w:r>
        <w:t xml:space="preserve">(3) Ansprüche nach dem Gesetz gegen den unlauteren Wettbewerb bleiben unberührt.</w:t>
      </w:r>
    </w:p>
    <w:p>
      <w:r>
        <w:rPr>
          <w:color w:val="555555"/>
          <w:sz w:val="17"/>
        </w:rPr>
        <w:t xml:space="preserve">Zitiervorschlag: § 135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