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134a MarkenG — Datenverarbeitung im Zusammenhang mit Kontrollen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Die Kontrollbehörden dürfen Daten einschließlich personenbezogener Daten verarbeiten, soweit dies für die Durchführung der Kontrollen nach § 134 Absatz 1 erforderlich ist. Dazu dürfen die Kontrollbehörden Daten einschließlich personenbezogener Daten erheben</w:t>
      </w:r>
    </w:p>
    <w:p>
      <w:pPr>
        <w:ind w:left="420"/>
      </w:pPr>
      <w:r>
        <w:t xml:space="preserve">1. von Betrieben nach § 134 Absatz 2,</w:t>
      </w:r>
    </w:p>
    <w:p>
      <w:pPr>
        <w:ind w:left="420"/>
      </w:pPr>
      <w:r>
        <w:t xml:space="preserve">2. von Erzeugern,</w:t>
      </w:r>
    </w:p>
    <w:p>
      <w:pPr>
        <w:ind w:left="420"/>
      </w:pPr>
      <w:r>
        <w:t xml:space="preserve">3. im Zusammenhang mit rechtswidrigen Online-Inhalten im Sinne des Artikels 60 der Verordnung (EU) 2023/2411 von der Bundesnetzagentur in ihrer Funktion als Koordinierungsstelle für digitale Dienste im Sinne des § 14 des Digitale-Dienste-Gesetzes, soweit Artikel 84 der Verordnung (EU) 2022/2065 dem nicht entgegensteht, und</w:t>
      </w:r>
    </w:p>
    <w:p>
      <w:pPr>
        <w:ind w:left="420"/>
      </w:pPr>
      <w:r>
        <w:t xml:space="preserve">4. im Rahmen der gegenseitigen Amtshilfe und Zusammenarbeit nach Artikel 62 der Verordnung (EU) 2023/2411 von den in Artikel 62 Absatz 3 der Verordnung (EU) 2023/2411 genannten Behörden und Stellen.</w:t>
      </w:r>
    </w:p>
    <w:p>
      <w:r>
        <w:t xml:space="preserve">Die in Satz 2 genannten inländischen Behörden und Stellen übermitteln die nach Satz 1 erforderlichen Daten an die Kontrollbehörden. Jede öffentliche Stelle kann den Kontrollbehörden von Amts wegen Hinweise auf Handlungen, gegen die eingetragene geografische Angaben nach Titel III der Verordnung (EU) 2023/2411 geschützt sind, mitteilen und dazugehörige personenbezogene Daten übermitteln.</w:t>
      </w:r>
    </w:p>
    <w:p>
      <w:r>
        <w:t xml:space="preserve">(2) Die Kontrollbehörden löschen die in Absatz 1 genannten Daten drei Jahre nach Ablauf des Kalenderjahres, in dem die Daten erhoben wurden.</w:t>
      </w:r>
    </w:p>
    <w:p>
      <w:r>
        <w:t xml:space="preserve">(3) Die Kontrollbehörden übermitteln personenbezogene Daten</w:t>
      </w:r>
    </w:p>
    <w:p>
      <w:pPr>
        <w:ind w:left="420"/>
      </w:pPr>
      <w:r>
        <w:t xml:space="preserve">1. an die nach Landesrecht zuständigen Stellen für die Einleitung und Durchführung von Bußgeldverfahren nach § 145 Absatz 2, 3 und 4,</w:t>
      </w:r>
    </w:p>
    <w:p>
      <w:pPr>
        <w:ind w:left="420"/>
      </w:pPr>
      <w:r>
        <w:t xml:space="preserve">2. an die Behörden und Stellen nach Absatz 1 Satz 2 Nummer 4</w:t>
      </w:r>
    </w:p>
    <w:p>
      <w:pPr>
        <w:ind w:left="780"/>
      </w:pPr>
      <w:r>
        <w:t xml:space="preserve">a) zur Abwehr von Verstößen gegen die Verordnung (EU) 2023/2411 im Rahmen ihrer Befugnisse sowie</w:t>
      </w:r>
    </w:p>
    <w:p>
      <w:pPr>
        <w:ind w:left="780"/>
      </w:pPr>
      <w:r>
        <w:t xml:space="preserve">b) im Rahmen der nach Artikel 62 der Verordnung (EU) 2023/2411 vorgesehenen gegenseitigen Amtshilfe und Zusammenarbeit und</w:t>
      </w:r>
    </w:p>
    <w:p>
      <w:pPr>
        <w:ind w:left="420"/>
      </w:pPr>
      <w:r>
        <w:t xml:space="preserve">3. im Rahmen ihrer Befugnisse an die Bundesnetzagentur in ihrer Funktion als Koordinierungsstelle für digitale Dienste im Sinne des § 14 des Digitale-Dienste-Gesetzes für die Durchsetzung und Überwachung der Verordnung (EU) 2022/2065 in Bezug auf rechtswidrige Online-Inhalte im Sinne des Artikels 60 Absatz 1 der Verordnung (EU) 2023/2411.</w:t>
      </w:r>
    </w:p>
    <w:p>
      <w:r>
        <w:t xml:space="preserve">Die Behörden und Stellen dürfen die ihnen nach Satz 1 Nummer 2 und 3 übermittelten Daten im Rahmen der Wahrnehmung ihrer Befugnisse zu den jeweils genannten Zwecken erheben und weiterverarbeiten.</w:t>
      </w:r>
    </w:p>
    <w:p>
      <w:r>
        <w:rPr>
          <w:color w:val="555555"/>
          <w:sz w:val="17"/>
        </w:rPr>
        <w:t xml:space="preserve">Zitiervorschlag: § 134a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https://recht.nulegal.eu/gesetze/MarkenG/134a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