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134 MarkenG — Kontrolle</w:t>
      </w:r>
    </w:p>
    <w:p>
      <w:r>
        <w:rPr>
          <w:color w:val="555555"/>
          <w:sz w:val="18"/>
        </w:rPr>
        <w:t xml:space="preserve">Markengesetz</w:t>
      </w:r>
    </w:p>
    <w:p>
      <w:r>
        <w:rPr>
          <w:color w:val="555555"/>
          <w:sz w:val="18"/>
        </w:rPr>
        <w:t xml:space="preserve">Stand: 16.01.2026 (konsolidierte Textfassung, kein amtliches Inkrafttretensdatum)</w:t>
      </w:r>
    </w:p>
    <w:p>
      <w:r>
        <w:t xml:space="preserve">(1) Die Kontrolle nach Artikel 49 Absatz 2 der Verordnung (EU) 2023/2411 obliegt den nach Landesrecht zuständigen Stellen (Kontrollbehörden).</w:t>
      </w:r>
    </w:p>
    <w:p>
      <w:r>
        <w:t xml:space="preserve">(2) Soweit es für die Kontrollen nach Absatz 1 erforderlich ist, können die Kontrollbehörden bei Betrieben, die mit einer geografischen Angabe bezeichnete handwerkliche oder industrielle Erzeugnisse in Verkehr bringen oder herstellen oder innergemeinschaftlich verbringen, einführen oder ausführen, während der Geschäfts- oder Betriebszeit</w:t>
      </w:r>
    </w:p>
    <w:p>
      <w:pPr>
        <w:ind w:left="420"/>
      </w:pPr>
      <w:r>
        <w:t xml:space="preserve">1. Geschäftsräume und Grundstücke, Verkaufseinrichtungen und Transportmittel betreten und dort Besichtigungen vornehmen,</w:t>
      </w:r>
    </w:p>
    <w:p>
      <w:pPr>
        <w:ind w:left="420"/>
      </w:pPr>
      <w:r>
        <w:t xml:space="preserve">2. Stichproben gegen Empfangsbescheinigung entnehmen,</w:t>
      </w:r>
    </w:p>
    <w:p>
      <w:pPr>
        <w:ind w:left="420"/>
      </w:pPr>
      <w:r>
        <w:t xml:space="preserve">3. Erzeugnisse erwerben, ohne dass sie sich als Kontrollbehörde zu erkennen geben,</w:t>
      </w:r>
    </w:p>
    <w:p>
      <w:pPr>
        <w:ind w:left="420"/>
      </w:pPr>
      <w:r>
        <w:t xml:space="preserve">4. Geschäftsunterlagen einsehen und prüfen,</w:t>
      </w:r>
    </w:p>
    <w:p>
      <w:pPr>
        <w:ind w:left="420"/>
      </w:pPr>
      <w:r>
        <w:t xml:space="preserve">5. Auskunft verlangen.</w:t>
      </w:r>
    </w:p>
    <w:p>
      <w:r>
        <w:t xml:space="preserve">Die Befugnisse erstrecken sich auch auf handwerkliche oder industrielle Erzeugnisse, die an öffentlichen Orten, insbesondere auf Märkten, Plätzen, Straßen oder im elektronischen Handel, in den Verkehr gebracht werden.</w:t>
      </w:r>
    </w:p>
    <w:p>
      <w:r>
        <w:t xml:space="preserve">(3) In den Fällen des Absatzes 2 Satz 1 Nummer 2 und 3 sind die handwerklichen und industriellen Erzeugnisse nach erfolgter Prüfung an die Betriebe zurückzugeben. Für Stichproben nach Absatz 2 Satz 1 Nummer 2 ist im Einzelfall eine Entschädigung bis zur Höhe des Verkaufspreises zu leisten, sofern andernfalls eine unbillige Härte eintreten würde. Im Fall eines Erwerbs nach Absatz 2 Satz 1 Nummer 3 unterrichtet die Kontrollbehörde den Verkäufer nach Erhalt der Ware hierüber. Sie kann vom Verkäufer die Erstattung des Kaufpreises sowie die Versandkosten verlangen, sofern dadurch nicht eine unbillige Härte eintreten würde.</w:t>
      </w:r>
    </w:p>
    <w:p>
      <w:r>
        <w:t xml:space="preserve">(4) Inhaber und Leiter der Betriebe sind verpflichtet,</w:t>
      </w:r>
    </w:p>
    <w:p>
      <w:pPr>
        <w:ind w:left="420"/>
      </w:pPr>
      <w:r>
        <w:t xml:space="preserve">1. das Betreten der Geschäftsräume und Grundstücke, Verkaufseinrichtungen und Transportmittel sowie die dort vorzunehmenden Besichtigungen zu gestatten,</w:t>
      </w:r>
    </w:p>
    <w:p>
      <w:pPr>
        <w:ind w:left="420"/>
      </w:pPr>
      <w:r>
        <w:t xml:space="preserve">2. die zu besichtigenden handwerklichen und industriellen Erzeugnisse selbst oder durch andere so darzulegen, dass die Besichtigung ordnungsgemäß vorgenommen werden kann,</w:t>
      </w:r>
    </w:p>
    <w:p>
      <w:pPr>
        <w:ind w:left="420"/>
      </w:pPr>
      <w:r>
        <w:t xml:space="preserve">3. selbst oder durch andere die erforderliche Hilfe bei Besichtigungen zu leisten,</w:t>
      </w:r>
    </w:p>
    <w:p>
      <w:pPr>
        <w:ind w:left="420"/>
      </w:pPr>
      <w:r>
        <w:t xml:space="preserve">4. die Entnahme von Stichproben zuzulassen,</w:t>
      </w:r>
    </w:p>
    <w:p>
      <w:pPr>
        <w:ind w:left="420"/>
      </w:pPr>
      <w:r>
        <w:t xml:space="preserve">5. die geschäftlichen Unterlagen auf Verlangen vorzulegen, die Prüfung der Unterlagen zuzulassen und</w:t>
      </w:r>
    </w:p>
    <w:p>
      <w:pPr>
        <w:ind w:left="420"/>
      </w:pPr>
      <w:r>
        <w:t xml:space="preserve">6. auf Verlangen Auskünfte zu erteilen.</w:t>
      </w:r>
    </w:p>
    <w:p>
      <w:r>
        <w:t xml:space="preserve">(5) Erfolgt die Kontrolle bei der Einfuhr oder bei der Ausfuhr, so gelten die Absätze 2, 3 und 4 entsprechend auch für denjenigen, der die handwerklichen oder industriellen Erzeugnisse für den Betriebsinhaber innergemeinschaftlich verbringt, einführt oder ausführt.</w:t>
      </w:r>
    </w:p>
    <w:p>
      <w:r>
        <w:t xml:space="preserve">(6) Der zur Erteilung einer Auskunft Verpflichtete kann die Auskunft auf solche Fragen verweigern, deren Beantwortung ihn selbst oder einen der in § 383 Absatz 1 Nummer 1 bis 3 der Zivilprozessordnung bezeichneten Angehörigen der Gefahr strafrechtlicher Verfolgung oder eines Verfahrens nach dem Gesetz über Ordnungswidrigkeiten aussetzen würde.</w:t>
      </w:r>
    </w:p>
    <w:p>
      <w:r>
        <w:t xml:space="preserve">(7) Als Abhilfemaßnahmen im Sinne des Artikels 51 Absatz 6, des Artikels 52 Absatz 4 oder des Artikels 54 Absatz 2 Satz 2 der Verordnung (EU) 2023/2411 können die Kontrollbehörden insbesondere</w:t>
      </w:r>
    </w:p>
    <w:p>
      <w:pPr>
        <w:ind w:left="420"/>
      </w:pPr>
      <w:r>
        <w:t xml:space="preserve">1. die zur Beseitigung der widerrechtlichen Kennzeichnung erforderlichen Maßnahmen anordnen,</w:t>
      </w:r>
    </w:p>
    <w:p>
      <w:pPr>
        <w:ind w:left="420"/>
      </w:pPr>
      <w:r>
        <w:t xml:space="preserve">2. das Inverkehrbringen oder Handeln eines widerrechtlich gekennzeichneten Erzeugnisses oder Werbematerials, auch vorläufig, verbieten oder beschränken,</w:t>
      </w:r>
    </w:p>
    <w:p>
      <w:pPr>
        <w:ind w:left="420"/>
      </w:pPr>
      <w:r>
        <w:t xml:space="preserve">3. widerrechtlich gekennzeichnete Erzeugnisse, auch vorläufig, sicherstellen.</w:t>
      </w:r>
    </w:p>
    <w:p>
      <w:r>
        <w:t xml:space="preserve">(8) Für Amtshandlungen, die für Kontrollen nach Absatz 1 vorzunehmen sind, werden kostendeckende Gebühren und Auslagen erhoben. Die kostenpflichtigen Tatbestände werden durch das Landesrecht bestimmt.</w:t>
      </w:r>
    </w:p>
    <w:p>
      <w:r>
        <w:rPr>
          <w:color w:val="555555"/>
          <w:sz w:val="17"/>
        </w:rPr>
        <w:t xml:space="preserve">Zitiervorschlag: § 134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