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MarkenG — Antrag auf Änderung der Produktspezifikation; Löschungsverfahren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Für Anträge auf Genehmigung von Unionsänderungen im Sinne des Artikels 31 Absatz 2 Buchstabe a der Verordnung (EU) 2023/2411 gelten die §§ 130 und 131 entsprechend.</w:t>
      </w:r>
    </w:p>
    <w:p>
      <w:r>
        <w:t xml:space="preserve">(2) Für Anträge auf Genehmigung von Standardänderungen im Sinne des Artikels 31 Absatz 2 Buchstabe b der Verordnung (EU) 2023/2411, einschließlich vorübergehender Standardänderungen nach Artikel 31 Absatz 6 der Verordnung (EU) 2023/2411, gelten die Artikel 14 bis 17 der Verordnung (EU) 2023/2411 und § 130 entsprechend mit der Maßgabe, dass das Deutsche Patent- und Markenamt den Antrag nicht beim Amt der Europäischen Union für geistiges Eigentum einreicht.</w:t>
      </w:r>
    </w:p>
    <w:p>
      <w:r>
        <w:t xml:space="preserve">(3) Für Anträge auf Löschung der Eintragung einer geschützten geografischen Angabe nach Artikel 32 Absatz 1 der Verordnung (EU) 2023/2411 gelten die §§ 130 und 131 entsprechend.</w:t>
      </w:r>
    </w:p>
    <w:p>
      <w:r>
        <w:t xml:space="preserve">(4) In den Verfahren nach dieser Vorschrift gibt das Deutsche Patent- und Markenamt demjenigen Antragsteller im Sinne des Artikels 37 Absatz 2 Buchstabe c der Verordnung (EU) 2023/2411 Gelegenheit zur Stellungnahme, in dessen Namen die jeweils betroffene geografische Angabe eingetragen wurde. Beschlüsse stellt das Deutsche Patent- und Markenamt dem Antragsteller zu.</w:t>
      </w:r>
    </w:p>
    <w:p>
      <w:r>
        <w:rPr>
          <w:color w:val="555555"/>
          <w:sz w:val="17"/>
        </w:rPr>
        <w:t xml:space="preserve">Zitiervorschlag: § 132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