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MarkenG — Sonstige ältere Rechte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Eintragung einer Marke kann gelöscht werden, wenn ein anderer vor dem für den Zeitrang der eingetragenen Marke maßgeblichen Tag ein sonstiges, nicht in den §§ 9 bis 12 aufgeführtes Recht erworben hat und dieses ihn berechtigt, die Benutzung der eingetragenen Marke im gesamten Gebiet der Bundesrepublik Deutschland zu untersagen.</w:t>
      </w:r>
    </w:p>
    <w:p>
      <w:r>
        <w:t xml:space="preserve">(2) Zu den sonstigen Rechten im Sinne des Absatzes 1 gehören insbesondere:</w:t>
      </w:r>
    </w:p>
    <w:p>
      <w:pPr>
        <w:ind w:left="420"/>
      </w:pPr>
      <w:r>
        <w:t xml:space="preserve">1. Namensrechte,</w:t>
      </w:r>
    </w:p>
    <w:p>
      <w:pPr>
        <w:ind w:left="420"/>
      </w:pPr>
      <w:r>
        <w:t xml:space="preserve">2. das Recht an der eigenen Abbildung,</w:t>
      </w:r>
    </w:p>
    <w:p>
      <w:pPr>
        <w:ind w:left="420"/>
      </w:pPr>
      <w:r>
        <w:t xml:space="preserve">3. Urheberrechte,</w:t>
      </w:r>
    </w:p>
    <w:p>
      <w:pPr>
        <w:ind w:left="420"/>
      </w:pPr>
      <w:r>
        <w:t xml:space="preserve">4. Sortenbezeichnungen,</w:t>
      </w:r>
    </w:p>
    <w:p>
      <w:pPr>
        <w:ind w:left="420"/>
      </w:pPr>
      <w:r>
        <w:t xml:space="preserve">5. geographische Herkunftsangaben,</w:t>
      </w:r>
    </w:p>
    <w:p>
      <w:pPr>
        <w:ind w:left="420"/>
      </w:pPr>
      <w:r>
        <w:t xml:space="preserve">6. sonstige gewerbliche Schutzrechte.</w:t>
      </w:r>
    </w:p>
    <w:p>
      <w:r>
        <w:rPr>
          <w:color w:val="555555"/>
          <w:sz w:val="17"/>
        </w:rPr>
        <w:t xml:space="preserve">Zitiervorschlag: § 13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