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125e MarkenG — Unionsmarkenstreitsachen; Unionsmarkengerichte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Außer Kraft: § 125e ist seit 01.05.2022 nicht mehr im MarkenG enthalten. Angezeigt wird die letzte bekannte Fassung, Stand 10.06.2019.</w:t>
      </w:r>
    </w:p>
    <w:p>
      <w:r>
        <w:t xml:space="preserve">(1) Für alle Klagen, für die nach der Unionsmarkenverordnung die Unionsmarkengerichte im Sinne des Artikels 123 Absatz 1 der Unionsmarkenverordnung zuständig sind (Unionsmarkenstreitsachen), sind als Unionsmarkengerichte im ersten Rechtszug die Landgerichte ohne Rücksicht auf den Streitwert ausschließlich zuständig.</w:t>
      </w:r>
    </w:p>
    <w:p>
      <w:r>
        <w:t xml:space="preserve">(2) Unionsmarkengericht zweiter Instanz ist das Oberlandesgericht, in dessen Bezirk das Unionsmarkengericht erster Instanz seinen Sitz hat.</w:t>
      </w:r>
    </w:p>
    <w:p>
      <w:r>
        <w:t xml:space="preserve">(3) Die Landesregierungen werden ermächtigt, durch Rechtsverordnung die Unionsmarkenstreitsachen für die Bezirke mehrerer Unionsmarkengerichte einem dieser Gerichte zuzuweisen. Die Landesregierungen können diese Ermächtigung durch Rechtsverordnung auf die Landesjustizverwaltungen übertragen.</w:t>
      </w:r>
    </w:p>
    <w:p>
      <w:r>
        <w:t xml:space="preserve">(4) Die Länder können durch Vereinbarung den Unionsmarkengerichten eines Landes obliegende Aufgaben ganz oder teilweise dem zuständigen Unionsmarkengericht eines anderen Landes übertragen.</w:t>
      </w:r>
    </w:p>
    <w:p>
      <w:r>
        <w:t xml:space="preserve">(5) Auf Verfahren vor den Unionsmarkengerichten ist § 140 Absatz 4 und § 142 entsprechend anzuwenden.</w:t>
      </w:r>
    </w:p>
    <w:p>
      <w:r>
        <w:rPr>
          <w:color w:val="555555"/>
          <w:sz w:val="17"/>
        </w:rPr>
        <w:t xml:space="preserve">Zitiervorschlag: § 125e MarkenG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https://recht.nulegal.eu/gesetze/MarkenG/125e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