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125a MarkenG — Erteilung der Vollstreckungsklausel</w:t>
      </w:r>
    </w:p>
    <w:p>
      <w:r>
        <w:rPr>
          <w:color w:val="555555"/>
          <w:sz w:val="18"/>
        </w:rPr>
        <w:t xml:space="preserve">Markengesetz</w:t>
      </w:r>
    </w:p>
    <w:p>
      <w:r>
        <w:rPr>
          <w:color w:val="555555"/>
          <w:sz w:val="18"/>
        </w:rPr>
        <w:t xml:space="preserve">Stand: 16.01.2026 (konsolidierte Textfassung, kein amtliches Inkrafttretensdatum)</w:t>
      </w:r>
    </w:p>
    <w:p>
      <w:r>
        <w:t xml:space="preserve">Für die Erteilung der Vollstreckungsklausel nach Artikel 110 Absatz 2 Satz 3 der Verordnung (EU) 2017/1001 ist das Bundespatentgericht zuständig. Die vollstreckbare Ausfertigung wird vom Urkundsbeamten der Geschäftsstelle des Bundespatentgerichts erteilt.</w:t>
      </w:r>
    </w:p>
    <w:p>
      <w:r>
        <w:rPr>
          <w:color w:val="555555"/>
          <w:sz w:val="17"/>
        </w:rPr>
        <w:t xml:space="preserve">Zitiervorschlag: § 125a MarkenG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https://recht.nulegal.eu/gesetze/MarkenG/125a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