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MarkenG — Unterrichtung der Kommission</w:t>
      </w:r>
    </w:p>
    <w:p>
      <w:r>
        <w:rPr>
          <w:color w:val="555555"/>
          <w:sz w:val="18"/>
        </w:rPr>
        <w:t xml:space="preserve">Markengesetz</w:t>
      </w:r>
    </w:p>
    <w:p>
      <w:r>
        <w:rPr>
          <w:color w:val="555555"/>
          <w:sz w:val="18"/>
        </w:rPr>
        <w:t xml:space="preserve">Stand: 01.05.2022 (konsolidierte Textfassung, kein amtliches Inkrafttretensdatum)</w:t>
      </w:r>
    </w:p>
    <w:p>
      <w:r>
        <w:t xml:space="preserve">Das Bundesministerium der Justiz und für Verbraucherschutz teilt der Kommission der Europäischen Gemeinschaften die Unionsmarkengerichte erster und zweiter Instanz sowie jede Änderung der Anzahl, der Bezeichnung oder der örtlichen Zuständigkeit der Unionsmarkengerichte erster und zweiter Instanz mit.</w:t>
      </w:r>
    </w:p>
    <w:p>
      <w:r>
        <w:rPr>
          <w:color w:val="555555"/>
          <w:sz w:val="17"/>
        </w:rPr>
        <w:t xml:space="preserve">Zitiervorschlag: § 123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