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117 MarkenG — Ausschluss von Ansprüchen wegen mangelnder Benutzung</w:t>
      </w:r>
    </w:p>
    <w:p>
      <w:r>
        <w:rPr>
          <w:color w:val="555555"/>
          <w:sz w:val="18"/>
        </w:rPr>
        <w:t xml:space="preserve">Markengesetz</w:t>
      </w:r>
    </w:p>
    <w:p>
      <w:r>
        <w:rPr>
          <w:color w:val="555555"/>
          <w:sz w:val="18"/>
        </w:rPr>
        <w:t xml:space="preserve">Stand: 01.05.2022 (konsolidierte Textfassung, kein amtliches Inkrafttretensdatum)</w:t>
      </w:r>
    </w:p>
    <w:p>
      <w:r>
        <w:t xml:space="preserve">Werden Ansprüche im Sinne der §§ 14 und 18 bis 19c wegen der Verletzung einer international registrierten Marke geltend gemacht, so ist § 25 mit der Maßgabe anzuwenden, dass an die Stelle des Zeitpunkts, ab dem kein Widerspruch mehr gegen die Marke möglich war, einer der in § 115 Absatz 2 bezeichneten Tage tritt.</w:t>
      </w:r>
    </w:p>
    <w:p>
      <w:r>
        <w:rPr>
          <w:color w:val="555555"/>
          <w:sz w:val="17"/>
        </w:rPr>
        <w:t xml:space="preserve">Zitiervorschlag: § 117 MarkenG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https://recht.nulegal.eu/gesetze/MarkenG/117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