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MarkenG — Widerspruch aufgrund einer international registrierten Marke und Antrag oder Klage auf Erklärung der Nichtigkeit aufgrund einer international registrierten Marke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01.05.2022 (konsolidierte Textfassung, kein amtliches Inkrafttretensdatum)</w:t>
      </w:r>
    </w:p>
    <w:p>
      <w:r>
        <w:t xml:space="preserve">(1) Wird aufgrund einer international registrierten Marke Widerspruch gegen die Eintragung einer Marke erhoben, so ist § 43 Absatz 1 mit der Maßgabe anzuwenden, dass an die Stelle des Zeitpunkts, ab dem kein Widerspruch mehr gegen die Marke möglich war, einer der in § 115 Absatz 2 bezeichneten Tage tritt.</w:t>
      </w:r>
    </w:p>
    <w:p>
      <w:r>
        <w:t xml:space="preserve">(2) Wird aufgrund einer international registrierten Marke ein Antrag auf Erklärung der Nichtigkeit einer eingetragenen Marke nach § 51 gestellt oder eine solche Klage erhoben, so sind § 53 Absatz 6 und § 55 Absatz 3 mit der Maßgabe anzuwenden, dass an die Stelle des Zeitpunkts, ab dem kein Widerspruch mehr gegen die Marke möglich war, einer der in § 115 Absatz 2 bezeichneten Tage tritt.</w:t>
      </w:r>
    </w:p>
    <w:p>
      <w:r>
        <w:rPr>
          <w:color w:val="555555"/>
          <w:sz w:val="17"/>
        </w:rPr>
        <w:t xml:space="preserve">Zitiervorschlag: § 116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