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MarkenG — Widerspruch gegen eine international registrierte Marke</w:t>
      </w:r>
    </w:p>
    <w:p>
      <w:r>
        <w:rPr>
          <w:color w:val="555555"/>
          <w:sz w:val="18"/>
        </w:rPr>
        <w:t xml:space="preserve">Markengesetz</w:t>
      </w:r>
    </w:p>
    <w:p>
      <w:r>
        <w:rPr>
          <w:color w:val="555555"/>
          <w:sz w:val="18"/>
        </w:rPr>
        <w:t xml:space="preserve">Stand: 16.01.2026 (konsolidierte Textfassung, kein amtliches Inkrafttretensdatum)</w:t>
      </w:r>
    </w:p>
    <w:p>
      <w:r>
        <w:t xml:space="preserve">(1) An die Stelle der Veröffentlichung der Eintragung (§ 41 Absatz 2) tritt für international registrierte Marken die Veröffentlichung in dem vom Internationalen Büro der Weltorganisation für geistiges Eigentum herausgegebenen Veröffentlichungsblatt.</w:t>
      </w:r>
    </w:p>
    <w:p>
      <w:r>
        <w:t xml:space="preserve">(2) Die Frist zur Erhebung des Widerspruchs (§ 42 Absatz 1) gegen die Schutzgewährung für international registrierte Marken beginnt mit dem ersten Tag des Monats, der dem Monat folgt, der als Ausgabemonat desjenigen Veröffentlichungsblattes angegeben ist, in dem die Veröffentlichung der international registrierten Marke enthalten ist.</w:t>
      </w:r>
    </w:p>
    <w:p>
      <w:r>
        <w:t xml:space="preserve">(3) An die Stelle der Löschung der Eintragung (§ 43 Absatz 2 Satz 1) tritt die Verweigerung des Schutzes.</w:t>
      </w:r>
    </w:p>
    <w:p>
      <w:r>
        <w:rPr>
          <w:color w:val="555555"/>
          <w:sz w:val="17"/>
        </w:rPr>
        <w:t xml:space="preserve">Zitiervorschlag: § 114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