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MarkenG — Prüfung auf absolute Schutzhindernisse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(1) International registrierte Marken werden in gleicher Weise wie zur Eintragung in das Register angemeldete Marken nach § 37 auf absolute Schutzhindernisse geprüft. § 37 Absatz 2 ist nicht anzuwenden.</w:t>
      </w:r>
    </w:p>
    <w:p>
      <w:r>
        <w:t xml:space="preserve">(2) An die Stelle der Zurückweisung der Anmeldung (§ 37 Absatz 1) tritt die Verweigerung des Schutzes.</w:t>
      </w:r>
    </w:p>
    <w:p>
      <w:r>
        <w:rPr>
          <w:color w:val="555555"/>
          <w:sz w:val="17"/>
        </w:rPr>
        <w:t xml:space="preserve">Zitiervorschlag: § 113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