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MarkenG — Wirkung der internationalen Registrierung und der nachträglichen Schutzerstreckung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01.05.2022 (konsolidierte Textfassung, kein amtliches Inkrafttretensdatum)</w:t>
      </w:r>
    </w:p>
    <w:p>
      <w:r>
        <w:t xml:space="preserve">(1) Die internationale Registrierung oder die nachträgliche Schutzerstreckung einer Marke, deren Schutz nach Artikel 3 und 3ter des Protokolls zum Madrider Markenabkommen auf das Gebiet der Bundesrepublik Deutschland erstreckt worden ist, hat dieselbe Wirkung, wie wenn die Marke am Tag der internationalen Registrierung nach Artikel 3 Absatz 4 des Protokolls zum Madrider Markenabkommen oder am Tag der Eintragung der nachträglichen Schutzerstreckung nach Artikel 3ter Absatz 2 des Protokolls zum Madrider Markenabkommen zur Eintragung in das vom Deutschen Patent- und Markenamt geführte Register angemeldet und eingetragen worden wäre.</w:t>
      </w:r>
    </w:p>
    <w:p>
      <w:r>
        <w:t xml:space="preserve">(2) Die in Absatz 1 bezeichnete Wirkung gilt als nicht eingetreten, wenn der international registrierten Marke nach den §§ 113 bis 115 der Schutz verweigert wird.</w:t>
      </w:r>
    </w:p>
    <w:p>
      <w:r>
        <w:rPr>
          <w:color w:val="555555"/>
          <w:sz w:val="17"/>
        </w:rPr>
        <w:t xml:space="preserve">Zitiervorschlag: § 112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