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MarkenG — Anwendung der Vorschriften dieses Gesetzes; Sprachen</w:t>
      </w:r>
    </w:p>
    <w:p>
      <w:r>
        <w:rPr>
          <w:color w:val="555555"/>
          <w:sz w:val="18"/>
        </w:rPr>
        <w:t xml:space="preserve">Markengesetz</w:t>
      </w:r>
    </w:p>
    <w:p>
      <w:r>
        <w:rPr>
          <w:color w:val="555555"/>
          <w:sz w:val="18"/>
        </w:rPr>
        <w:t xml:space="preserve">Stand: 16.01.2026 (konsolidierte Textfassung, kein amtliches Inkrafttretensdatum)</w:t>
      </w:r>
    </w:p>
    <w:p>
      <w:r>
        <w:t xml:space="preserve">(1) Die Vorschriften dieses Gesetzes sind auf internationale Registrierungen von Marken nach dem Protokoll vom 27. Juni 1989 zum Madrider Abkommen über die internationale Registrierung von Marken (BGBl. 1995 II S. 1016, 1017), das durch die vom Madrider Verband in der Sitzung vom 24. September bis 3. Oktober 2007 beschlossene Änderung (BGBl. 2008 II S. 822) geändert worden ist (Protokoll zum Madrider Markenabkommen), die durch Vermittlung des Deutschen Patent- und Markenamts vorgenommen werden oder deren Schutz sich auf das Gebiet der Bundesrepublik Deutschland erstreckt, entsprechend anzuwenden, soweit in diesem Abschnitt oder im Protokoll zum Madrider Markenabkommen nichts anderes bestimmt ist.</w:t>
      </w:r>
    </w:p>
    <w:p>
      <w:r>
        <w:t xml:space="preserve">(2) Sämtliche Anträge sowie sonstige Mitteilungen im Verfahren der internationalen Registrierung und das Verzeichnis der Waren und Dienstleistungen sind nach Wahl des Antragstellers in französischer oder in englischer Sprache einzureichen.</w:t>
      </w:r>
    </w:p>
    <w:p>
      <w:r>
        <w:rPr>
          <w:color w:val="555555"/>
          <w:sz w:val="17"/>
        </w:rPr>
        <w:t xml:space="preserve">Zitiervorschlag: § 107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