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106g MarkenG — Verfall</w:t>
      </w:r>
    </w:p>
    <w:p>
      <w:r>
        <w:rPr>
          <w:color w:val="555555"/>
          <w:sz w:val="18"/>
        </w:rPr>
        <w:t xml:space="preserve">Markengesetz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Eintragung einer Gewährleistungsmarke wird außer aus den in § 49 genannten Verfallsgründen auf Antrag auch in den folgenden Fällen für verfallen erklärt und gelöscht:</w:t>
      </w:r>
    </w:p>
    <w:p>
      <w:pPr>
        <w:ind w:left="420"/>
      </w:pPr>
      <w:r>
        <w:t xml:space="preserve">1. wenn der Inhaber der Gewährleistungsmarke die Erfordernisse des § 106b nicht mehr erfüllt,</w:t>
      </w:r>
    </w:p>
    <w:p>
      <w:pPr>
        <w:ind w:left="420"/>
      </w:pPr>
      <w:r>
        <w:t xml:space="preserve">2. wenn der Inhaber der Gewährleistungsmarke keine geeigneten Maßnahmen trifft, um zu verhindern, dass die Gewährleistungsmarke missbräuchlich in einer der Gewährleistungsmarkensatzung widersprechenden Weise benutzt wird,</w:t>
      </w:r>
    </w:p>
    <w:p>
      <w:pPr>
        <w:ind w:left="420"/>
      </w:pPr>
      <w:r>
        <w:t xml:space="preserve">3. wenn die Gewährleistungsmarke von berechtigten Personen so benutzt worden ist, dass die Gefahr besteht, dass das Publikum nach § 106e Absatz 2 irregeführt wird, oder</w:t>
      </w:r>
    </w:p>
    <w:p>
      <w:pPr>
        <w:ind w:left="420"/>
      </w:pPr>
      <w:r>
        <w:t xml:space="preserve">4. wenn eine Änderung der Gewährleistungsmarkensatzung entgegen § 106f Absatz 2 gemäß § 106d Absatz 3 in das Register eingetragen worden ist, es sei denn, dass der Inhaber der Gewährleistungsmarke die Gewährleistungsmarkensatzung erneut so ändert, dass der Verfallsgrund nicht mehr besteht.</w:t>
      </w:r>
    </w:p>
    <w:p>
      <w:r>
        <w:t xml:space="preserve">(2) Als eine missbräuchliche Benutzung im Sinne des Absatzes 1 Nummer 2 ist es insbesondere anzusehen, wenn die Benutzung der Gewährleistungsmarke durch andere als die zur Benutzung befugten Personen geeignet ist, das Publikum zu täuschen.</w:t>
      </w:r>
    </w:p>
    <w:p>
      <w:r>
        <w:t xml:space="preserve">(3) Der Antrag auf Erklärung des Verfalls nach Absatz 1 ist beim Deutschen Patent- und Markenamt zu stellen. Das Verfahren richtet sich nach § 53.</w:t>
      </w:r>
    </w:p>
    <w:p>
      <w:r>
        <w:rPr>
          <w:color w:val="555555"/>
          <w:sz w:val="17"/>
        </w:rPr>
        <w:t xml:space="preserve">Zitiervorschlag: § 106g MarkenG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https://recht.nulegal.eu/gesetze/MarkenG/106g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