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106f MarkenG — Änderung der Gewährleistungsmarkensatzung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der Gewährleistungsmarke hat dem Deutschen Patent- und Markenamt jede Änderung der Gewährleistungsmarkensatzung mitzuteilen.</w:t>
      </w:r>
    </w:p>
    <w:p>
      <w:r>
        <w:t xml:space="preserve">(2) Im Fall einer Änderung der Gewährleistungsmarkensatzung sind die §§ 106d und 106e entsprechend anzuwenden.</w:t>
      </w:r>
    </w:p>
    <w:p>
      <w:r>
        <w:t xml:space="preserve">(3) Für die Zwecke dieses Gesetzes wird die Änderung der Gewährleistungsmarkensatzung erst ab dem Zeitpunkt wirksam, zu dem die Änderung ins Register eingetragen worden ist.</w:t>
      </w:r>
    </w:p>
    <w:p>
      <w:r>
        <w:t xml:space="preserve">(4) Schriftliche Bemerkungen Dritter gemäß § 37 Absatz 6 Satz 2 können auch in Bezug auf geänderte Gewährleistungsmarkensatzungen eingereicht werden.</w:t>
      </w:r>
    </w:p>
    <w:p>
      <w:r>
        <w:rPr>
          <w:color w:val="555555"/>
          <w:sz w:val="17"/>
        </w:rPr>
        <w:t xml:space="preserve">Zitiervorschlag: § 106f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https://recht.nulegal.eu/gesetze/MarkenG/106f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