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106c MarkenG — Klagebefugnis; Schadensersatz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der Gewährleistungsmarkensatzung nichts anderes bestimmt ist, kann eine zur Benutzung der Gewährleistungsmarke berechtigte Person Klage wegen Verletzung der Gewährleistungsmarke nur erheben, wenn der Inhaber der Gewährleistungsmarke dem zustimmt.</w:t>
      </w:r>
    </w:p>
    <w:p>
      <w:r>
        <w:t xml:space="preserve">(2) Der Inhaber der Gewährleistungsmarke kann auch Ersatz des Schadens verlangen, der den zur Benutzung der Gewährleistungsmarke berechtigten Personen aus der unbefugten Benutzung der Gewährleistungsmarke oder eines ähnlichen Zeichens entstanden ist.</w:t>
      </w:r>
    </w:p>
    <w:p>
      <w:r>
        <w:rPr>
          <w:color w:val="555555"/>
          <w:sz w:val="17"/>
        </w:rPr>
        <w:t xml:space="preserve">Zitiervorschlag: § 106c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