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MarkenG — Geschützte Marken und sonstige Kennzeichen</w:t>
      </w:r>
    </w:p>
    <w:p>
      <w:r>
        <w:rPr>
          <w:color w:val="555555"/>
          <w:sz w:val="18"/>
        </w:rPr>
        <w:t xml:space="preserve">Markengesetz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Nach diesem Gesetz werden geschützt:</w:t>
      </w:r>
    </w:p>
    <w:p>
      <w:pPr>
        <w:ind w:left="420"/>
      </w:pPr>
      <w:r>
        <w:t xml:space="preserve">1. Marken,</w:t>
      </w:r>
    </w:p>
    <w:p>
      <w:pPr>
        <w:ind w:left="420"/>
      </w:pPr>
      <w:r>
        <w:t xml:space="preserve">2. geschäftliche Bezeichnungen,</w:t>
      </w:r>
    </w:p>
    <w:p>
      <w:pPr>
        <w:ind w:left="420"/>
      </w:pPr>
      <w:r>
        <w:t xml:space="preserve">3. geographische Herkunftsangaben.</w:t>
      </w:r>
    </w:p>
    <w:p>
      <w:r>
        <w:rPr>
          <w:color w:val="555555"/>
          <w:sz w:val="17"/>
        </w:rPr>
        <w:t xml:space="preserve">Zitiervorschlag: § 1 MarkenG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https://recht.nulegal.eu/gesetze/MarkenG/1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