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MariMedV — Zulassung von Ärzten</w:t>
      </w:r>
    </w:p>
    <w:p>
      <w:r>
        <w:rPr>
          <w:color w:val="555555"/>
          <w:sz w:val="18"/>
        </w:rPr>
        <w:t xml:space="preserve">Maritime-Medizin-Verordnung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notwendigen fachlichen Kenntnisse für die Zulassung nach § 16 des Seearbeitsgesetzes liegen vor, wenn der Arzt</w:t>
      </w:r>
    </w:p>
    <w:p>
      <w:pPr>
        <w:ind w:left="420"/>
      </w:pPr>
      <w:r>
        <w:t xml:space="preserve">1. die Anerkennung als Arzt für Allgemeinmedizin, Anästhesiologie, Arbeitsmedizin, Chirurgie oder Innere Medizin besitzt,</w:t>
      </w:r>
    </w:p>
    <w:p>
      <w:pPr>
        <w:ind w:left="420"/>
      </w:pPr>
      <w:r>
        <w:t xml:space="preserve">2. in der Lage ist, das Farbsehvermögen einer zu untersuchenden Person zu beurteilen,</w:t>
      </w:r>
    </w:p>
    <w:p>
      <w:pPr>
        <w:ind w:left="420"/>
      </w:pPr>
      <w:r>
        <w:t xml:space="preserve">3. eine mindestens vierwöchige praktische Erfahrung auf einem Seeschiff und umfassende Kenntnisse der gesundheitlichen Anforderungen im Schiffsdienst oder das Zertifikat der Bundesärztekammer über das erfolgreiche Absolvieren des Curriculums „Maritime Medizin“ nachweist,</w:t>
      </w:r>
    </w:p>
    <w:p>
      <w:pPr>
        <w:ind w:left="420"/>
      </w:pPr>
      <w:r>
        <w:t xml:space="preserve">4. eine stationäre oder ambulante Tätigkeit über mindestens vier Jahre mit Schwerpunkt der Erkennung und Behandlung von Erkrankungen, die einen Bezug zur Tätigkeit an Bord haben, nachweist,</w:t>
      </w:r>
    </w:p>
    <w:p>
      <w:pPr>
        <w:ind w:left="420"/>
      </w:pPr>
      <w:r>
        <w:t xml:space="preserve">5. an einem Seminar des seeärztlichen Dienstes zur Einführung in die Grundlagen der Seediensttauglichkeitsuntersuchung teilgenommen hat und</w:t>
      </w:r>
    </w:p>
    <w:p>
      <w:pPr>
        <w:ind w:left="420"/>
      </w:pPr>
      <w:r>
        <w:t xml:space="preserve">6. sicherstellt, dass er für den Zweck der Seediensttauglichkeitsuntersuchungen auf das Seediensttauglichkeitsverzeichnis zurückgreifen kann.</w:t>
      </w:r>
    </w:p>
    <w:p>
      <w:r>
        <w:t xml:space="preserve">(2) Die persönliche Eignung fehlt insbesondere, wenn der Arzt nicht über die für die Durchführung der Untersuchung erforderliche Ausstattung verfügt.</w:t>
      </w:r>
    </w:p>
    <w:p>
      <w:r>
        <w:t xml:space="preserve">(3) Die erforderliche Zuverlässigkeit fehlt insbesondere, wenn der Arzt gröblich oder wiederholt gegen die Vorschriften über die Feststellung der Seediensttauglichkeit oder gegen berufsständische Regelungen verstoßen hat.</w:t>
      </w:r>
    </w:p>
    <w:p>
      <w:r>
        <w:t xml:space="preserve">(4) Die Berufsgenossenschaft stellt jedem zugelassenen Arzt einen Zulassungsstempel nach dem Muster der Anlage 3 zur Verfügung.</w:t>
      </w:r>
    </w:p>
    <w:p>
      <w:r>
        <w:t xml:space="preserve">(5) Die Berufsgenossenschaft veröffentlicht eine Liste der von ihr zugelassenen Ärzte mit den in § 16 Absatz 1 Satz 4 des Seearbeitsgesetzes genannten Daten für jeden Arzt auf ihrer Internetseite.</w:t>
      </w:r>
    </w:p>
    <w:p>
      <w:r>
        <w:rPr>
          <w:color w:val="555555"/>
          <w:sz w:val="17"/>
        </w:rPr>
        <w:t xml:space="preserve">Zitiervorschlag: § 9 MariMedV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https://recht.nulegal.eu/gesetze/MariMedV/9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