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MariMedV — Anforderungen an die Seediensttauglichkeit</w:t>
      </w:r>
    </w:p>
    <w:p>
      <w:r>
        <w:rPr>
          <w:color w:val="555555"/>
          <w:sz w:val="18"/>
        </w:rPr>
        <w:t xml:space="preserve">Maritime-Medizin-Verordnung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11, auch in Verbindung mit § 3 Absatz 4 Satz 2 bis 4, des Seearbeitsgesetzes erforderliche Seediensttauglichkeit liegt vor, wenn die zu untersuchende Person die für den Dienstzweig, in dem sie tätig werden will, in der Anlage 1 vorgesehenen gesundheitlichen Anforderungen erfüllt.</w:t>
      </w:r>
    </w:p>
    <w:p>
      <w:r>
        <w:rPr>
          <w:color w:val="555555"/>
          <w:sz w:val="17"/>
        </w:rPr>
        <w:t xml:space="preserve">Zitiervorschlag: § 3 MariMedV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https://recht.nulegal.eu/gesetze/MariMedV/3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