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MariMedV — Übergangsregelung für Lehrgänge</w:t>
      </w:r>
    </w:p>
    <w:p>
      <w:r>
        <w:rPr>
          <w:color w:val="555555"/>
          <w:sz w:val="18"/>
        </w:rPr>
        <w:t xml:space="preserve">Maritime-Medizin-Verordnung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Lehrgänge, die am 21. August 2014 nach bisherigen Rechtsvorschriften anerkannt waren, gelten vorläufig als nach § 16 Absatz 1 zugelassen. Die vorläufige Zulassung erlischt,</w:t>
      </w:r>
    </w:p>
    <w:p>
      <w:pPr>
        <w:ind w:left="420"/>
      </w:pPr>
      <w:r>
        <w:t xml:space="preserve">1. wenn nicht bis zum 1. August 2015 die Zulassung beantragt wird, oder</w:t>
      </w:r>
    </w:p>
    <w:p>
      <w:pPr>
        <w:ind w:left="420"/>
      </w:pPr>
      <w:r>
        <w:t xml:space="preserve">2. im Falle rechtzeitiger Antragstellung mit Eintritt der Unanfechtbarkeit der Entscheidung über den Antrag.</w:t>
      </w:r>
    </w:p>
    <w:p>
      <w:r>
        <w:rPr>
          <w:color w:val="555555"/>
          <w:sz w:val="17"/>
        </w:rPr>
        <w:t xml:space="preserve">Zitiervorschlag: § 22 MariMedV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https://recht.nulegal.eu/gesetze/MariMedV/22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