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MariMedV — Überwachung der Anbieter</w:t>
      </w:r>
    </w:p>
    <w:p>
      <w:r>
        <w:rPr>
          <w:color w:val="555555"/>
          <w:sz w:val="18"/>
        </w:rPr>
        <w:t xml:space="preserve">Maritime-Medizin-Verordnung</w:t>
      </w:r>
    </w:p>
    <w:p>
      <w:r>
        <w:rPr>
          <w:color w:val="555555"/>
          <w:sz w:val="18"/>
        </w:rPr>
        <w:t xml:space="preserve">Stand: 10.06.2019 (konsolidierte Textfassung, kein amtliches Inkrafttretensdatum)</w:t>
      </w:r>
    </w:p>
    <w:p>
      <w:r>
        <w:t xml:space="preserve">(1) Anbieter unterliegen der Überwachung der Berufsgenossenschaft. Zu diesem Zweck sind die Mitarbeiter der Berufsgenossenschaft insbesondere befugt, bei Anbietern</w:t>
      </w:r>
    </w:p>
    <w:p>
      <w:pPr>
        <w:ind w:left="420"/>
      </w:pPr>
      <w:r>
        <w:t xml:space="preserve">1. die Geschäftsräume und die Schulungsräume während der üblichen Dienststunden des Anbieters zu betreten und deren Ausstattung, insbesondere die medizinische Ausstattung, zu prüfen,</w:t>
      </w:r>
    </w:p>
    <w:p>
      <w:pPr>
        <w:ind w:left="420"/>
      </w:pPr>
      <w:r>
        <w:t xml:space="preserve">2. die Qualifikation der Lehrkräfte anhand entsprechender Nachweise zu prüfen,</w:t>
      </w:r>
    </w:p>
    <w:p>
      <w:pPr>
        <w:ind w:left="420"/>
      </w:pPr>
      <w:r>
        <w:t xml:space="preserve">3. die Unterrichtsmaterialien und die Lehrgangspläne einzusehen und zu prüfen,</w:t>
      </w:r>
    </w:p>
    <w:p>
      <w:pPr>
        <w:ind w:left="420"/>
      </w:pPr>
      <w:r>
        <w:t xml:space="preserve">4. Auskunft über die durchgeführten Lehrgänge zu verlangen,</w:t>
      </w:r>
    </w:p>
    <w:p>
      <w:pPr>
        <w:ind w:left="420"/>
      </w:pPr>
      <w:r>
        <w:t xml:space="preserve">5. bei Lehrgängen gegenwärtig zu sein.</w:t>
      </w:r>
    </w:p>
    <w:p>
      <w:r>
        <w:t xml:space="preserve">(2) Der Anbieter hat die Maßnahmen nach Absatz 1 zu dulden.</w:t>
      </w:r>
    </w:p>
    <w:p>
      <w:r>
        <w:t xml:space="preserve">(3) Jeder Lehrgang ist am Ende von den Teilnehmern in schriftlicher Form anonym auf die Durchführung des Lehrgangs und die Qualität der Wissensvermittlung hin zu beurteilen. Der Anbieter hat dafür zu sorgen, dass die ausgefüllten Beurteilungsbögen nach Anforderung durch die Berufsgenossenschaft spätestens vier Wochen nach Ende des Lehrgangs an diese übermittelt werden.</w:t>
      </w:r>
    </w:p>
    <w:p>
      <w:r>
        <w:t xml:space="preserve">(4) Zum Zweck der Überprüfung der Vermittlung der geforderten Lerninhalte durch den Anbieter ist die Berufsgenossenschaft berechtigt, stichprobenartig die Lehrgangsteilnehmer am Ende eines Lehrgangs anhand anonymisierter Fragebögen zu befragen.</w:t>
      </w:r>
    </w:p>
    <w:p>
      <w:r>
        <w:rPr>
          <w:color w:val="555555"/>
          <w:sz w:val="17"/>
        </w:rPr>
        <w:t xml:space="preserve">Zitiervorschlag: § 17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