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MariMedV — Zulassung von Lehrgängen</w:t>
      </w:r>
    </w:p>
    <w:p>
      <w:r>
        <w:rPr>
          <w:color w:val="555555"/>
          <w:sz w:val="18"/>
        </w:rPr>
        <w:t xml:space="preserve">Maritime-Medizin-Verordnung</w:t>
      </w:r>
    </w:p>
    <w:p>
      <w:r>
        <w:rPr>
          <w:color w:val="555555"/>
          <w:sz w:val="18"/>
        </w:rPr>
        <w:t xml:space="preserve">Stand: 10.01.2020 (konsolidierte Textfassung, kein amtliches Inkrafttretensdatum)</w:t>
      </w:r>
    </w:p>
    <w:p>
      <w:r>
        <w:t xml:space="preserve">(1) Ein Lehrgang wird von der Berufsgenossenschaft auf Antrag zugelassen, wenn</w:t>
      </w:r>
    </w:p>
    <w:p>
      <w:pPr>
        <w:ind w:left="420"/>
      </w:pPr>
      <w:r>
        <w:t xml:space="preserve">1. er die für ihn in Anlage 4 vorgesehenen Inhalte umfasst,</w:t>
      </w:r>
    </w:p>
    <w:p>
      <w:pPr>
        <w:ind w:left="420"/>
      </w:pPr>
      <w:r>
        <w:t xml:space="preserve">2. der Anbieter des Lehrgangs (Anbieter) über ausreichend fachlich qualifizierte Personen für die praktische und theoretische Durchführung des Lehrgangs verfügt,</w:t>
      </w:r>
    </w:p>
    <w:p>
      <w:pPr>
        <w:ind w:left="420"/>
      </w:pPr>
      <w:r>
        <w:t xml:space="preserve">3. der Anbieter unabhängig und zuverlässig ist und dadurch die Gewähr für eine ordnungsgemäße Erfüllung seiner Aufgaben bietet und</w:t>
      </w:r>
    </w:p>
    <w:p>
      <w:pPr>
        <w:ind w:left="420"/>
      </w:pPr>
      <w:r>
        <w:t xml:space="preserve">4. der Anbieter über geeignete Schulungsräume und eine medizinische Ausstattung zur Durchführung des Lehrgangs nach Anlage 5 verfügt.</w:t>
      </w:r>
    </w:p>
    <w:p>
      <w:r>
        <w:t xml:space="preserve">(2) Der Anbieter hat für die Zulassung Approbationsurkunden und Nachweise über die Ausbildung als Gesundheits- und Krankenpflegerinnen und Gesundheits- und Krankenpfleger oder als Pflegefachfrauen und Pflegefachmänner oder als Rettungsassistentinnen und Rettungsassistenten oder als Notfallsanitäterinnen und Notfallsanitäter der Personen, welche den Lehrgang durchführen, vorzulegen.</w:t>
      </w:r>
    </w:p>
    <w:p>
      <w:r>
        <w:t xml:space="preserve">(3) Die Zulassung eines Lehrgangs ist auf fünf Jahre befristet. Die Zulassung kann, auch nachträglich, mit Nebenbestimmungen verbunden werden.</w:t>
      </w:r>
    </w:p>
    <w:p>
      <w:r>
        <w:t xml:space="preserve">(4) Die Zulassung eines Lehrgangs wird auf Antrag um jeweils fünf Jahre verlängert, wenn die Voraussetzungen des Absatzes 1 weiter vorliegen.</w:t>
      </w:r>
    </w:p>
    <w:p>
      <w:r>
        <w:t xml:space="preserve">(5) Die Zulassung ist zurückzunehmen, wenn der Anbieter die Zulassung</w:t>
      </w:r>
    </w:p>
    <w:p>
      <w:pPr>
        <w:ind w:left="420"/>
      </w:pPr>
      <w:r>
        <w:t xml:space="preserve">1. durch arglistige Täuschung, Drohung oder Bestechung oder</w:t>
      </w:r>
    </w:p>
    <w:p>
      <w:pPr>
        <w:ind w:left="420"/>
      </w:pPr>
      <w:r>
        <w:t xml:space="preserve">2. vorsätzlich oder grob fahrlässig durch Angaben, die in wesentlicher Beziehung unrichtig oder unvollständig waren,</w:t>
      </w:r>
    </w:p>
    <w:p>
      <w:r>
        <w:t xml:space="preserve">erwirkt hat. Die Zulassung ist zu widerrufen, wenn der Anbieter nicht mehr über die notwendigen fachlichen Kenntnisse, die erforderliche Unabhängigkeit oder Zuverlässigkeit verfügt. Im Übrigen bleiben die §§ 48 und 49 des Verwaltungsverfahrensgesetzes unberührt.</w:t>
      </w:r>
    </w:p>
    <w:p>
      <w:r>
        <w:rPr>
          <w:color w:val="555555"/>
          <w:sz w:val="17"/>
        </w:rPr>
        <w:t xml:space="preserve">Zitiervorschlag: § 16 MariMedV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https://recht.nulegal.eu/gesetze/MariMedV/16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