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MariMedV — Verpflichtung zur Teilnahme an medizinischen Wiederholungslehrgängen</w:t>
      </w:r>
    </w:p>
    <w:p>
      <w:r>
        <w:rPr>
          <w:color w:val="555555"/>
          <w:sz w:val="18"/>
        </w:rPr>
        <w:t xml:space="preserve">Maritime-Medizin-Verordnung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Kapitäne und nach § 109 Absatz 1 Satz 2 des Seearbeitsgesetzes beauftragte Schiffsoffiziere, die an Bord von</w:t>
      </w:r>
    </w:p>
    <w:p>
      <w:pPr>
        <w:ind w:left="420"/>
      </w:pPr>
      <w:r>
        <w:t xml:space="preserve">1. Schiffen in der weltweiten Fahrt,</w:t>
      </w:r>
    </w:p>
    <w:p>
      <w:pPr>
        <w:ind w:left="420"/>
      </w:pPr>
      <w:r>
        <w:t xml:space="preserve">2. Schiffen in dem in § 46 Absatz 1 des Seearbeitsgesetzes bezeichneten Fahrtgebiet (Europäische Fahrt),</w:t>
      </w:r>
    </w:p>
    <w:p>
      <w:pPr>
        <w:ind w:left="420"/>
      </w:pPr>
      <w:r>
        <w:t xml:space="preserve">3. Fischereifahrzeugen in der Großen Hochseefischerei und in der Kleinen Hochseefischerei</w:t>
      </w:r>
    </w:p>
    <w:p>
      <w:r>
        <w:t xml:space="preserve">tätig sind, müssen sich alle fünf Jahre durch die Teilnahme an einem von der Berufsgenossenschaft zugelassenen medizinischen Wiederholungslehrgang (Lehrgang) mit einer Dauer von 40 Unterrichtsstunden (großer Lehrgang) fortbilden.</w:t>
      </w:r>
    </w:p>
    <w:p>
      <w:r>
        <w:t xml:space="preserve">(2) Kapitäne und nach § 109 Absatz 1 Satz 2 des Seearbeitsgesetzes beauftragte Schiffsoffiziere, die an Bord von Schiffen tätig sind, die nicht die Anforderungen des Absatzes 1 erfüllen, müssen sich alle fünf Jahre durch die Teilnahme an einem Lehrgang mit einer Dauer von 16 Unterrichtsstunden (kleiner Lehrgang) fortbilden.</w:t>
      </w:r>
    </w:p>
    <w:p>
      <w:r>
        <w:rPr>
          <w:color w:val="555555"/>
          <w:sz w:val="17"/>
        </w:rPr>
        <w:t xml:space="preserve">Zitiervorschlag: § 15 MariMedV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https://recht.nulegal.eu/gesetze/MariMedV/15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